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Религии Востока. Буддизм</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eastAsia="MingLiU;細明體" w:cs="Garamond"/>
          <w:sz w:val="24"/>
          <w:szCs w:val="24"/>
        </w:rPr>
      </w:pPr>
      <w:r>
        <w:rPr>
          <w:rFonts w:eastAsia="MingLiU;細明體" w:cs="Garamond" w:ascii="Garamond" w:hAnsi="Garamond"/>
          <w:sz w:val="24"/>
          <w:szCs w:val="24"/>
          <w:lang w:val="en-US"/>
        </w:rPr>
        <w:t>DOI</w:t>
      </w:r>
      <w:r>
        <w:rPr>
          <w:rFonts w:eastAsia="MingLiU;細明體" w:cs="Garamond" w:ascii="Garamond" w:hAnsi="Garamond"/>
          <w:sz w:val="24"/>
          <w:szCs w:val="24"/>
        </w:rPr>
        <w:t>: 10.31696/2618-7302-2020-1-</w:t>
      </w:r>
      <w:r>
        <w:rPr>
          <w:rFonts w:eastAsia="MingLiU;細明體" w:cs="Garamond" w:ascii="Garamond" w:hAnsi="Garamond"/>
          <w:sz w:val="24"/>
          <w:szCs w:val="24"/>
          <w:lang w:val="en-US"/>
        </w:rPr>
        <w:t>33</w:t>
      </w:r>
      <w:r>
        <w:rPr>
          <w:rFonts w:eastAsia="MingLiU;細明體" w:cs="Garamond" w:ascii="Garamond" w:hAnsi="Garamond"/>
          <w:sz w:val="24"/>
          <w:szCs w:val="24"/>
        </w:rPr>
        <w:t>-46</w:t>
      </w:r>
    </w:p>
    <w:p>
      <w:pPr>
        <w:pStyle w:val="Normal"/>
        <w:ind w:end="-31" w:hanging="0"/>
        <w:rPr>
          <w:rFonts w:ascii="Garamond" w:hAnsi="Garamond" w:eastAsia="MingLiU;細明體" w:cs="Garamond"/>
          <w:sz w:val="24"/>
          <w:szCs w:val="24"/>
        </w:rPr>
      </w:pPr>
      <w:r>
        <w:rPr>
          <w:rFonts w:eastAsia="MingLiU;細明體" w:cs="Garamond" w:ascii="Garamond" w:hAnsi="Garamond"/>
          <w:sz w:val="24"/>
          <w:szCs w:val="24"/>
        </w:rPr>
      </w:r>
    </w:p>
    <w:p>
      <w:pPr>
        <w:pStyle w:val="Normal"/>
        <w:spacing w:lineRule="auto" w:line="360"/>
        <w:ind w:end="-31" w:hanging="0"/>
        <w:jc w:val="center"/>
        <w:rPr>
          <w:rFonts w:ascii="Garamond" w:hAnsi="Garamond" w:eastAsia="MingLiU;細明體" w:cs="Garamond"/>
          <w:b/>
          <w:b/>
          <w:caps/>
          <w:sz w:val="26"/>
          <w:szCs w:val="26"/>
        </w:rPr>
      </w:pPr>
      <w:r>
        <w:rPr>
          <w:rFonts w:eastAsia="MingLiU;細明體" w:cs="Garamond" w:ascii="Garamond" w:hAnsi="Garamond"/>
          <w:b/>
          <w:caps/>
          <w:sz w:val="26"/>
          <w:szCs w:val="26"/>
        </w:rPr>
        <w:t>Культ Ганеши и его почитание в японском буддизме</w:t>
      </w:r>
    </w:p>
    <w:p>
      <w:pPr>
        <w:pStyle w:val="Normal"/>
        <w:spacing w:lineRule="auto" w:line="360"/>
        <w:ind w:end="-31" w:hanging="0"/>
        <w:jc w:val="both"/>
        <w:rPr>
          <w:rFonts w:ascii="Garamond" w:hAnsi="Garamond" w:eastAsia="MingLiU;細明體" w:cs="Garamond"/>
          <w:b/>
          <w:b/>
          <w:sz w:val="24"/>
          <w:szCs w:val="24"/>
        </w:rPr>
      </w:pPr>
      <w:r>
        <w:rPr>
          <w:rFonts w:eastAsia="MingLiU;細明體" w:cs="Garamond" w:ascii="Garamond" w:hAnsi="Garamond"/>
          <w:sz w:val="24"/>
          <w:szCs w:val="24"/>
        </w:rPr>
        <w:t xml:space="preserve">© 2020 </w:t>
      </w:r>
      <w:r>
        <w:rPr>
          <w:rFonts w:eastAsia="MingLiU;細明體" w:cs="Garamond" w:ascii="Garamond" w:hAnsi="Garamond"/>
          <w:b/>
          <w:sz w:val="24"/>
          <w:szCs w:val="24"/>
        </w:rPr>
        <w:tab/>
        <w:tab/>
        <w:tab/>
        <w:t xml:space="preserve">         </w:t>
      </w:r>
      <w:r>
        <w:rPr>
          <w:rFonts w:eastAsia="MingLiU;細明體" w:cs="Garamond" w:ascii="Garamond" w:hAnsi="Garamond"/>
          <w:b/>
          <w:sz w:val="26"/>
          <w:szCs w:val="26"/>
        </w:rPr>
        <w:t>Е.</w:t>
      </w:r>
      <w:r>
        <w:rPr>
          <w:rFonts w:eastAsia="MingLiU;細明體" w:cs="Garamond" w:ascii="Garamond" w:hAnsi="Garamond"/>
          <w:b/>
          <w:sz w:val="26"/>
          <w:szCs w:val="26"/>
          <w:lang w:val="en-US"/>
        </w:rPr>
        <w:t> C</w:t>
      </w:r>
      <w:r>
        <w:rPr>
          <w:rFonts w:eastAsia="MingLiU;細明體" w:cs="Garamond" w:ascii="Garamond" w:hAnsi="Garamond"/>
          <w:b/>
          <w:sz w:val="26"/>
          <w:szCs w:val="26"/>
        </w:rPr>
        <w:t>.</w:t>
      </w:r>
      <w:r>
        <w:rPr>
          <w:rFonts w:eastAsia="MingLiU;細明體" w:cs="Garamond" w:ascii="Garamond" w:hAnsi="Garamond"/>
          <w:b/>
          <w:sz w:val="26"/>
          <w:szCs w:val="26"/>
          <w:lang w:val="en-US"/>
        </w:rPr>
        <w:t> </w:t>
      </w:r>
      <w:r>
        <w:rPr>
          <w:rFonts w:eastAsia="MingLiU;細明體" w:cs="Garamond" w:ascii="Garamond" w:hAnsi="Garamond"/>
          <w:b/>
          <w:sz w:val="26"/>
          <w:szCs w:val="26"/>
        </w:rPr>
        <w:t>Лепехова</w:t>
      </w:r>
      <w:r>
        <w:rPr>
          <w:rStyle w:val="Style14"/>
          <w:rStyle w:val="Style19"/>
          <w:rFonts w:eastAsia="MingLiU;細明體" w:cs="Garamond" w:ascii="Garamond" w:hAnsi="Garamond"/>
          <w:sz w:val="26"/>
          <w:szCs w:val="26"/>
        </w:rPr>
        <w:footnoteReference w:id="2"/>
      </w:r>
    </w:p>
    <w:p>
      <w:pPr>
        <w:pStyle w:val="Normal"/>
        <w:ind w:end="-31" w:firstLine="720"/>
        <w:jc w:val="both"/>
        <w:rPr/>
      </w:pPr>
      <w:r>
        <w:rPr>
          <w:rFonts w:eastAsia="MingLiU;細明體" w:cs="Garamond" w:ascii="Garamond" w:hAnsi="Garamond"/>
          <w:sz w:val="22"/>
          <w:szCs w:val="22"/>
        </w:rPr>
        <w:t>Исследование посвящено культу божества Ганеши и его почитанию в японском буддизме. Ганеша</w:t>
      </w:r>
      <w:r>
        <w:rPr>
          <w:rFonts w:eastAsia="MingLiU;細明體" w:cs="Garamond" w:ascii="Garamond" w:hAnsi="Garamond"/>
          <w:sz w:val="22"/>
          <w:szCs w:val="22"/>
          <w:lang w:val="en-US"/>
        </w:rPr>
        <w:t> </w:t>
      </w:r>
      <w:r>
        <w:rPr>
          <w:rFonts w:eastAsia="MingLiU;細明體" w:cs="Garamond" w:ascii="Garamond" w:hAnsi="Garamond"/>
          <w:sz w:val="22"/>
          <w:szCs w:val="22"/>
        </w:rPr>
        <w:t>— один из индуистских богов, известный также как Винаяка, Ганапати и Вигхнеша. Первоначально в Древней Индии он относился к категории злых демонов-</w:t>
      </w:r>
      <w:r>
        <w:rPr>
          <w:rFonts w:eastAsia="MingLiU;細明體" w:cs="Garamond" w:ascii="Garamond" w:hAnsi="Garamond"/>
          <w:i/>
          <w:sz w:val="22"/>
          <w:szCs w:val="22"/>
        </w:rPr>
        <w:t>винаяк</w:t>
      </w:r>
      <w:r>
        <w:rPr>
          <w:rFonts w:eastAsia="MingLiU;細明體" w:cs="Garamond" w:ascii="Garamond" w:hAnsi="Garamond"/>
          <w:sz w:val="22"/>
          <w:szCs w:val="22"/>
        </w:rPr>
        <w:t xml:space="preserve">, насылающих препятствия. Эти демоны обычно изображались с головой слона и человеческим телом. Впоследствии подобно многим другим индуистским божествам Ганеша был включен в пантеон буддизма Ваджраяны, благодаря чему различные его ипостаси стали известны в Тибете, Китае и Японии, где поклонение ему превратилось в эзотерический культ. На Дальнем Востоке были известны как одиночные, так и парные изображения Ганеши в виде двух обнимающихся существ со слоновьими головами. В Японии подобные изображения получили название «Сосин Кангитэн». В местном эзотерическом буддизме </w:t>
      </w:r>
      <w:r>
        <w:rPr>
          <w:rFonts w:eastAsia="MingLiU;細明體" w:cs="Garamond" w:ascii="Garamond" w:hAnsi="Garamond"/>
          <w:i/>
          <w:sz w:val="22"/>
          <w:szCs w:val="22"/>
        </w:rPr>
        <w:t xml:space="preserve">миккё </w:t>
      </w:r>
      <w:r>
        <w:rPr>
          <w:rFonts w:eastAsia="MingLiU;細明體" w:cs="Garamond" w:ascii="Garamond" w:hAnsi="Garamond"/>
          <w:sz w:val="22"/>
          <w:szCs w:val="22"/>
        </w:rPr>
        <w:t xml:space="preserve">они интерпретировались как форма слияния противоположностей, мужского и женского начал, феноменального и абсолютного в виде двух сакральных мандал: «Алмазной мандалы» и «Мандалы Чрева». По этой причине Ганеша иногда считался воплощением основного почитаемого божества традиции миккё — Махавайрочаны Будды (яп. Дайнити Нёрай) и был известен как составной элемент другого эзотерического божества Матарадзин или Сантэн, представлявшего собой триаду божеств Сарасвати, Дакини и Ганеши. </w:t>
      </w:r>
    </w:p>
    <w:p>
      <w:pPr>
        <w:pStyle w:val="Normal"/>
        <w:ind w:end="-31" w:firstLine="720"/>
        <w:jc w:val="both"/>
        <w:rPr/>
      </w:pPr>
      <w:r>
        <w:rPr>
          <w:rFonts w:eastAsia="MingLiU;細明體" w:cs="Garamond" w:ascii="Garamond" w:hAnsi="Garamond"/>
          <w:sz w:val="22"/>
          <w:szCs w:val="22"/>
        </w:rPr>
        <w:t>По мнению автора, еще не достаточно исследованная история культа Ганеши в этих странах показывает, каким образом элементы индуистской религии сохранялись в традициях тантрического буддизма и как по мере распространения этого религиозно-философского учения в странах Центральной Азии и Дальнего Востока они постепенно становились частью местных религиозных и культурных традиций. Важно отметить, что в дальнейшем они начинали оказывать влияние не только на развитие философских доктрин в местных буддийских школах, но и на формирование народных религиозных верований.</w:t>
      </w:r>
    </w:p>
    <w:p>
      <w:pPr>
        <w:pStyle w:val="Normal"/>
        <w:ind w:end="-31" w:firstLine="720"/>
        <w:jc w:val="both"/>
        <w:rPr/>
      </w:pPr>
      <w:r>
        <w:rPr>
          <w:rFonts w:eastAsia="MingLiU;細明體" w:cs="Garamond" w:ascii="Garamond" w:hAnsi="Garamond"/>
          <w:bCs/>
          <w:i/>
          <w:iCs/>
          <w:sz w:val="22"/>
          <w:szCs w:val="22"/>
        </w:rPr>
        <w:t>Ключевые слова</w:t>
      </w:r>
      <w:r>
        <w:rPr>
          <w:rFonts w:eastAsia="MingLiU;細明體" w:cs="Garamond" w:ascii="Garamond" w:hAnsi="Garamond"/>
          <w:i/>
          <w:sz w:val="22"/>
          <w:szCs w:val="22"/>
        </w:rPr>
        <w:t xml:space="preserve">: </w:t>
      </w:r>
      <w:r>
        <w:rPr>
          <w:rFonts w:eastAsia="MingLiU;細明體" w:cs="Garamond" w:ascii="Garamond" w:hAnsi="Garamond"/>
          <w:sz w:val="22"/>
          <w:szCs w:val="22"/>
        </w:rPr>
        <w:t xml:space="preserve">Ганеша, Винаяка, Ганапати, Вигхнеша, Ваджраяна, Сосин Кангитэн, Матарадзин, Сантэн, </w:t>
      </w:r>
      <w:r>
        <w:rPr>
          <w:rFonts w:eastAsia="MingLiU;細明體" w:cs="Garamond" w:ascii="Garamond" w:hAnsi="Garamond"/>
          <w:i/>
          <w:sz w:val="22"/>
          <w:szCs w:val="22"/>
        </w:rPr>
        <w:t>миккё</w:t>
      </w:r>
      <w:r>
        <w:rPr>
          <w:rFonts w:eastAsia="MingLiU;細明體" w:cs="Garamond" w:ascii="Garamond" w:hAnsi="Garamond"/>
          <w:sz w:val="22"/>
          <w:szCs w:val="22"/>
        </w:rPr>
        <w:t>, Китай, Япония, Тибет.</w:t>
      </w:r>
    </w:p>
    <w:p>
      <w:pPr>
        <w:pStyle w:val="Normal"/>
        <w:ind w:end="-31" w:firstLine="720"/>
        <w:jc w:val="both"/>
        <w:rPr>
          <w:rFonts w:ascii="Garamond" w:hAnsi="Garamond" w:eastAsia="MingLiU;細明體" w:cs="Garamond"/>
          <w:sz w:val="22"/>
          <w:szCs w:val="22"/>
          <w:lang w:val="en-US"/>
        </w:rPr>
      </w:pPr>
      <w:r>
        <w:rPr>
          <w:rFonts w:eastAsia="MingLiU;細明體" w:cs="Garamond" w:ascii="Garamond" w:hAnsi="Garamond"/>
          <w:i/>
          <w:iCs/>
          <w:sz w:val="22"/>
          <w:szCs w:val="22"/>
        </w:rPr>
        <w:t xml:space="preserve">Для цитирования: </w:t>
      </w:r>
      <w:r>
        <w:rPr>
          <w:rFonts w:eastAsia="MingLiU;細明體" w:cs="Garamond" w:ascii="Garamond" w:hAnsi="Garamond"/>
          <w:sz w:val="22"/>
          <w:szCs w:val="22"/>
        </w:rPr>
        <w:t>Лепехова Е.</w:t>
      </w:r>
      <w:r>
        <w:rPr>
          <w:rFonts w:eastAsia="MingLiU;細明體" w:cs="Garamond" w:ascii="Garamond" w:hAnsi="Garamond"/>
          <w:sz w:val="22"/>
          <w:szCs w:val="22"/>
          <w:lang w:val="en-US"/>
        </w:rPr>
        <w:t> C</w:t>
      </w:r>
      <w:r>
        <w:rPr>
          <w:rFonts w:eastAsia="MingLiU;細明體" w:cs="Garamond" w:ascii="Garamond" w:hAnsi="Garamond"/>
          <w:sz w:val="22"/>
          <w:szCs w:val="22"/>
        </w:rPr>
        <w:t>.</w:t>
      </w:r>
      <w:r>
        <w:rPr>
          <w:rFonts w:eastAsia="MingLiU;細明體" w:cs="Garamond" w:ascii="Garamond" w:hAnsi="Garamond"/>
          <w:iCs/>
          <w:sz w:val="22"/>
          <w:szCs w:val="22"/>
        </w:rPr>
        <w:t xml:space="preserve"> </w:t>
      </w:r>
      <w:r>
        <w:rPr>
          <w:rFonts w:eastAsia="MingLiU;細明體" w:cs="Garamond" w:ascii="Garamond" w:hAnsi="Garamond"/>
          <w:sz w:val="22"/>
          <w:szCs w:val="22"/>
        </w:rPr>
        <w:t xml:space="preserve">Культ Ганеши и его почитание в японском буддизме. </w:t>
      </w:r>
      <w:r>
        <w:rPr>
          <w:rFonts w:eastAsia="MingLiU;細明體" w:cs="Garamond" w:ascii="Garamond" w:hAnsi="Garamond"/>
          <w:i/>
          <w:sz w:val="22"/>
          <w:szCs w:val="22"/>
        </w:rPr>
        <w:t>Вестник</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Института</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востоковедения</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РАН</w:t>
      </w:r>
      <w:r>
        <w:rPr>
          <w:rFonts w:eastAsia="MingLiU;細明體" w:cs="Garamond" w:ascii="Garamond" w:hAnsi="Garamond"/>
          <w:sz w:val="22"/>
          <w:szCs w:val="22"/>
          <w:lang w:val="en-US"/>
        </w:rPr>
        <w:t xml:space="preserve">. 2020. № 1. </w:t>
      </w:r>
      <w:r>
        <w:rPr>
          <w:rFonts w:eastAsia="MingLiU;細明體" w:cs="Garamond" w:ascii="Garamond" w:hAnsi="Garamond"/>
          <w:sz w:val="22"/>
          <w:szCs w:val="22"/>
        </w:rPr>
        <w:t>С</w:t>
      </w:r>
      <w:r>
        <w:rPr>
          <w:rFonts w:eastAsia="MingLiU;細明體" w:cs="Garamond" w:ascii="Garamond" w:hAnsi="Garamond"/>
          <w:sz w:val="22"/>
          <w:szCs w:val="22"/>
          <w:lang w:val="en-US"/>
        </w:rPr>
        <w:t>. 33–46. DOI: 10.31696/2618-7302-2020-1-33-46</w:t>
      </w:r>
    </w:p>
    <w:p>
      <w:pPr>
        <w:pStyle w:val="Normal"/>
        <w:ind w:end="-31" w:firstLine="720"/>
        <w:jc w:val="both"/>
        <w:rPr>
          <w:rFonts w:ascii="Garamond" w:hAnsi="Garamond" w:eastAsia="MingLiU;細明體" w:cs="Garamond"/>
          <w:sz w:val="22"/>
          <w:szCs w:val="22"/>
          <w:lang w:val="en-US"/>
        </w:rPr>
      </w:pPr>
      <w:r>
        <w:rPr>
          <w:rFonts w:eastAsia="MingLiU;細明體" w:cs="Garamond" w:ascii="Garamond" w:hAnsi="Garamond"/>
          <w:sz w:val="22"/>
          <w:szCs w:val="22"/>
          <w:lang w:val="en-US"/>
        </w:rPr>
      </w:r>
    </w:p>
    <w:p>
      <w:pPr>
        <w:pStyle w:val="Normal"/>
        <w:spacing w:lineRule="auto" w:line="360"/>
        <w:ind w:end="-31" w:hanging="0"/>
        <w:jc w:val="center"/>
        <w:rPr/>
      </w:pPr>
      <w:r>
        <w:rPr>
          <w:rFonts w:eastAsia="MingLiU;細明體" w:cs="Garamond" w:ascii="Garamond" w:hAnsi="Garamond"/>
          <w:b/>
          <w:caps/>
          <w:sz w:val="26"/>
          <w:szCs w:val="26"/>
          <w:lang w:val="en-US"/>
        </w:rPr>
        <w:t>Ganeša’s Cult and His Veneration in Japanese Buddhism</w:t>
      </w:r>
    </w:p>
    <w:p>
      <w:pPr>
        <w:pStyle w:val="Normal"/>
        <w:spacing w:lineRule="auto" w:line="360"/>
        <w:ind w:end="-31" w:hanging="0"/>
        <w:jc w:val="center"/>
        <w:rPr>
          <w:rFonts w:ascii="Garamond" w:hAnsi="Garamond" w:eastAsia="MingLiU;細明體" w:cs="Garamond"/>
          <w:b/>
          <w:b/>
          <w:sz w:val="26"/>
          <w:szCs w:val="26"/>
          <w:lang w:val="en-US"/>
        </w:rPr>
      </w:pPr>
      <w:r>
        <w:rPr>
          <w:rFonts w:eastAsia="MingLiU;細明體" w:cs="Garamond" w:ascii="Garamond" w:hAnsi="Garamond"/>
          <w:b/>
          <w:sz w:val="26"/>
          <w:szCs w:val="26"/>
          <w:lang w:val="en-US"/>
        </w:rPr>
        <w:t>Elena S. Lepekhova</w:t>
      </w:r>
    </w:p>
    <w:p>
      <w:pPr>
        <w:sectPr>
          <w:footerReference w:type="default" r:id="rId2"/>
          <w:footnotePr>
            <w:numFmt w:val="decimal"/>
            <w:numRestart w:val="eachSect"/>
          </w:footnotePr>
          <w:type w:val="nextPage"/>
          <w:pgSz w:w="11057" w:h="14740"/>
          <w:pgMar w:left="1134" w:right="1134" w:header="0" w:top="1134" w:footer="709" w:bottom="1134" w:gutter="0"/>
          <w:pgNumType w:start="33" w:fmt="decimal"/>
          <w:formProt w:val="false"/>
          <w:textDirection w:val="lrTb"/>
          <w:docGrid w:type="default" w:linePitch="360" w:charSpace="0"/>
        </w:sectPr>
        <w:pStyle w:val="Normal"/>
        <w:ind w:end="-31" w:firstLine="720"/>
        <w:jc w:val="both"/>
        <w:rPr>
          <w:rFonts w:ascii="Garamond" w:hAnsi="Garamond" w:eastAsia="MingLiU;細明體" w:cs="Garamond"/>
          <w:sz w:val="22"/>
          <w:szCs w:val="22"/>
          <w:lang w:val="en-US"/>
        </w:rPr>
      </w:pPr>
      <w:r>
        <w:rPr>
          <w:rFonts w:eastAsia="MingLiU;細明體" w:cs="Garamond" w:ascii="Garamond" w:hAnsi="Garamond"/>
          <w:sz w:val="22"/>
          <w:szCs w:val="22"/>
          <w:lang w:val="en-US"/>
        </w:rPr>
        <w:t xml:space="preserve">This research focuses on the cult of the deity Ganeša in Japanese Buddhism. Ganeša is one of the Hindu gods, also known as Vinayaka, Ganapati and Vighnesa. Like many other Hindu deities, </w:t>
      </w:r>
    </w:p>
    <w:p>
      <w:pPr>
        <w:pStyle w:val="Normal"/>
        <w:ind w:end="-31" w:hanging="0"/>
        <w:jc w:val="both"/>
        <w:rPr/>
      </w:pPr>
      <w:r>
        <w:rPr>
          <w:rFonts w:eastAsia="MingLiU;細明體" w:cs="Garamond" w:ascii="Garamond" w:hAnsi="Garamond"/>
          <w:sz w:val="22"/>
          <w:szCs w:val="22"/>
          <w:lang w:val="en-US"/>
        </w:rPr>
        <w:t xml:space="preserve">he was included in the pantheon of Vajrayana Buddhism. Due to this fact, various hypostases of Ganeša spread in Tibet, China and Japan, where his worship turned into an esoteric cult. In the Far East were known both single and paired images of Ganeša in the form of two hugging creatures with elephant heads. In Japan, such images were called </w:t>
      </w:r>
      <w:r>
        <w:rPr>
          <w:rFonts w:eastAsia="MingLiU;細明體" w:cs="Garamond" w:ascii="Garamond" w:hAnsi="Garamond"/>
          <w:i/>
          <w:iCs/>
          <w:sz w:val="22"/>
          <w:szCs w:val="22"/>
          <w:lang w:val="en-US"/>
        </w:rPr>
        <w:t>Sosin Kangiten</w:t>
      </w:r>
      <w:r>
        <w:rPr>
          <w:rFonts w:eastAsia="MingLiU;細明體" w:cs="Garamond" w:ascii="Garamond" w:hAnsi="Garamond"/>
          <w:sz w:val="22"/>
          <w:szCs w:val="22"/>
          <w:lang w:val="en-US"/>
        </w:rPr>
        <w:t>. In local esoteric Buddhism (</w:t>
      </w:r>
      <w:r>
        <w:rPr>
          <w:rFonts w:eastAsia="MingLiU;細明體" w:cs="Garamond" w:ascii="Garamond" w:hAnsi="Garamond"/>
          <w:i/>
          <w:iCs/>
          <w:sz w:val="22"/>
          <w:szCs w:val="22"/>
          <w:lang w:val="en-US"/>
        </w:rPr>
        <w:t>mikkyō</w:t>
      </w:r>
      <w:r>
        <w:rPr>
          <w:rFonts w:eastAsia="MingLiU;細明體" w:cs="Garamond" w:ascii="Garamond" w:hAnsi="Garamond"/>
          <w:sz w:val="22"/>
          <w:szCs w:val="22"/>
          <w:lang w:val="en-US"/>
        </w:rPr>
        <w:t xml:space="preserve">) they were interpreted as the opposites, male and female, phenomenal and absolute in the form of two sacred mandalas: the “Diamond mandala” and the “Womb Mandala”. For this reason, Ganeša is sometimes considered the epitome of the main deity of </w:t>
      </w:r>
      <w:r>
        <w:rPr>
          <w:rFonts w:eastAsia="MingLiU;細明體" w:cs="Garamond" w:ascii="Garamond" w:hAnsi="Garamond"/>
          <w:i/>
          <w:iCs/>
          <w:sz w:val="22"/>
          <w:szCs w:val="22"/>
          <w:lang w:val="en-US"/>
        </w:rPr>
        <w:t>mikkyō</w:t>
      </w:r>
      <w:r>
        <w:rPr>
          <w:rFonts w:eastAsia="MingLiU;細明體" w:cs="Garamond" w:ascii="Garamond" w:hAnsi="Garamond"/>
          <w:sz w:val="22"/>
          <w:szCs w:val="22"/>
          <w:lang w:val="en-US"/>
        </w:rPr>
        <w:t xml:space="preserve"> tradition — Mahavairocana Buddha (Jp.: </w:t>
      </w:r>
      <w:r>
        <w:rPr>
          <w:rFonts w:eastAsia="MingLiU;細明體" w:cs="Garamond" w:ascii="Garamond" w:hAnsi="Garamond"/>
          <w:i/>
          <w:iCs/>
          <w:sz w:val="22"/>
          <w:szCs w:val="22"/>
          <w:lang w:val="en-US"/>
        </w:rPr>
        <w:t>Dainiti Nerai</w:t>
      </w:r>
      <w:r>
        <w:rPr>
          <w:rFonts w:eastAsia="MingLiU;細明體" w:cs="Garamond" w:ascii="Garamond" w:hAnsi="Garamond"/>
          <w:sz w:val="22"/>
          <w:szCs w:val="22"/>
          <w:lang w:val="en-US"/>
        </w:rPr>
        <w:t>) and was known as a composite element of another esoteric deity, Matarajin, or Santen, a triad of deities Saraswati, Dakini, and Ganeša. The history of Ganeša’s cult in these countries has not been sufficiently studied yet, however it shows the way in which elements of Hindu religion were preserved in the traditions of tantric Buddhism. While this religious and philosophical doctrine spread in the countries of Central Asia and the Far East, they gradually became part of local religious and cultural traditions. The author stresses that in the future they influenced not only the development of philosophical doctrines in local Buddhist schools, but also the formation of popular religious beliefs.</w:t>
      </w:r>
    </w:p>
    <w:p>
      <w:pPr>
        <w:pStyle w:val="Normal"/>
        <w:ind w:end="-31" w:firstLine="720"/>
        <w:jc w:val="both"/>
        <w:rPr/>
      </w:pPr>
      <w:r>
        <w:rPr>
          <w:rFonts w:eastAsia="MingLiU;細明體" w:cs="Garamond" w:ascii="Garamond" w:hAnsi="Garamond"/>
          <w:bCs/>
          <w:i/>
          <w:iCs/>
          <w:sz w:val="22"/>
          <w:szCs w:val="22"/>
          <w:lang w:val="en-US"/>
        </w:rPr>
        <w:t>Keywords:</w:t>
      </w:r>
      <w:r>
        <w:rPr>
          <w:rFonts w:eastAsia="MingLiU;細明體" w:cs="Garamond" w:ascii="Garamond" w:hAnsi="Garamond"/>
          <w:sz w:val="22"/>
          <w:szCs w:val="22"/>
          <w:lang w:val="en-US"/>
        </w:rPr>
        <w:t xml:space="preserve"> Ganeša, Vinayaka, Ganapati, Vighnesa, Soshin Kangiten, Matarajin, mikkyō, Vajrayana Buddhism, Tibet, China, Japan.</w:t>
      </w:r>
    </w:p>
    <w:p>
      <w:pPr>
        <w:pStyle w:val="Normal"/>
        <w:ind w:end="-31" w:firstLine="720"/>
        <w:jc w:val="both"/>
        <w:rPr>
          <w:rFonts w:ascii="Garamond" w:hAnsi="Garamond" w:eastAsia="MingLiU;細明體" w:cs="Garamond"/>
          <w:sz w:val="22"/>
          <w:szCs w:val="22"/>
        </w:rPr>
      </w:pPr>
      <w:r>
        <w:rPr>
          <w:rFonts w:eastAsia="MingLiU;細明體" w:cs="Garamond" w:ascii="Garamond" w:hAnsi="Garamond"/>
          <w:bCs/>
          <w:i/>
          <w:iCs/>
          <w:sz w:val="22"/>
          <w:szCs w:val="22"/>
          <w:lang w:val="en-US"/>
        </w:rPr>
        <w:t xml:space="preserve">For citation: </w:t>
      </w:r>
      <w:r>
        <w:rPr>
          <w:rFonts w:eastAsia="MingLiU;細明體" w:cs="Garamond" w:ascii="Garamond" w:hAnsi="Garamond"/>
          <w:sz w:val="22"/>
          <w:szCs w:val="22"/>
          <w:lang w:val="en-US"/>
        </w:rPr>
        <w:t xml:space="preserve">Lepekhova E. S. Ganeša’s Cult and His Veneration in Japanese Buddhism. </w:t>
      </w:r>
      <w:r>
        <w:rPr>
          <w:rFonts w:eastAsia="MingLiU;細明體" w:cs="Garamond" w:ascii="Garamond" w:hAnsi="Garamond"/>
          <w:i/>
          <w:sz w:val="22"/>
          <w:szCs w:val="22"/>
          <w:lang w:val="en-US"/>
        </w:rPr>
        <w:t>Vestnik</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Instituta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vostokovedenija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RAN</w:t>
      </w:r>
      <w:r>
        <w:rPr>
          <w:rFonts w:eastAsia="MingLiU;細明體" w:cs="Garamond" w:ascii="Garamond" w:hAnsi="Garamond"/>
          <w:sz w:val="22"/>
          <w:szCs w:val="22"/>
        </w:rPr>
        <w:t xml:space="preserve">. 2020. 1. </w:t>
      </w:r>
      <w:r>
        <w:rPr>
          <w:rFonts w:eastAsia="MingLiU;細明體" w:cs="Garamond" w:ascii="Garamond" w:hAnsi="Garamond"/>
          <w:sz w:val="22"/>
          <w:szCs w:val="22"/>
          <w:lang w:val="en-US"/>
        </w:rPr>
        <w:t>Pp</w:t>
      </w:r>
      <w:r>
        <w:rPr>
          <w:rFonts w:eastAsia="MingLiU;細明體" w:cs="Garamond" w:ascii="Garamond" w:hAnsi="Garamond"/>
          <w:sz w:val="22"/>
          <w:szCs w:val="22"/>
        </w:rPr>
        <w:t>.</w:t>
      </w:r>
      <w:r>
        <w:rPr>
          <w:rFonts w:eastAsia="MingLiU;細明體" w:cs="Garamond" w:ascii="Garamond" w:hAnsi="Garamond"/>
          <w:sz w:val="22"/>
          <w:szCs w:val="22"/>
          <w:lang w:val="en-US"/>
        </w:rPr>
        <w:t> </w:t>
      </w:r>
      <w:r>
        <w:rPr>
          <w:rFonts w:eastAsia="MingLiU;細明體" w:cs="Garamond" w:ascii="Garamond" w:hAnsi="Garamond"/>
          <w:sz w:val="22"/>
          <w:szCs w:val="22"/>
        </w:rPr>
        <w:t xml:space="preserve">33–46. </w:t>
      </w:r>
      <w:r>
        <w:rPr>
          <w:rFonts w:eastAsia="MingLiU;細明體" w:cs="Garamond" w:ascii="Garamond" w:hAnsi="Garamond"/>
          <w:sz w:val="22"/>
          <w:szCs w:val="22"/>
          <w:lang w:val="en-US"/>
        </w:rPr>
        <w:t>DOI</w:t>
      </w:r>
      <w:r>
        <w:rPr>
          <w:rFonts w:eastAsia="MingLiU;細明體" w:cs="Garamond" w:ascii="Garamond" w:hAnsi="Garamond"/>
          <w:sz w:val="22"/>
          <w:szCs w:val="22"/>
        </w:rPr>
        <w:t>: 10.31696/2618-7302-2020-1-33-46</w:t>
      </w:r>
    </w:p>
    <w:p>
      <w:pPr>
        <w:pStyle w:val="Normal"/>
        <w:ind w:end="-31" w:firstLine="720"/>
        <w:jc w:val="both"/>
        <w:rPr>
          <w:rFonts w:ascii="Garamond" w:hAnsi="Garamond" w:eastAsia="MingLiU;細明體" w:cs="Garamond"/>
          <w:sz w:val="22"/>
          <w:szCs w:val="22"/>
        </w:rPr>
      </w:pPr>
      <w:r>
        <w:rPr>
          <w:rFonts w:eastAsia="MingLiU;細明體" w:cs="Garamond" w:ascii="Garamond" w:hAnsi="Garamond"/>
          <w:sz w:val="22"/>
          <w:szCs w:val="22"/>
        </w:rPr>
      </w:r>
    </w:p>
    <w:p>
      <w:pPr>
        <w:pStyle w:val="Normal"/>
        <w:ind w:end="-31" w:hanging="0"/>
        <w:jc w:val="both"/>
        <w:rPr/>
      </w:pPr>
      <w:r>
        <w:rPr/>
        <w:t>Г</w:t>
      </w:r>
      <w:r>
        <w:rPr>
          <w:rFonts w:eastAsia="MingLiU;細明體" w:cs="Garamond" w:ascii="Garamond" w:hAnsi="Garamond"/>
          <w:sz w:val="24"/>
          <w:szCs w:val="24"/>
        </w:rPr>
        <w:t xml:space="preserve">анеша — один из индуистских богов, известный также как Винаяка, Ганапати и Вигхнеша, впоследствии, подобно многим другим индуистским божествам, вошел в пантеон буддизма Ваджраяны, благодаря чему различные ипостаси Ганеши распространились в Тибете, Китае и Японии, где поклонение ему превратилось в эзотерический культ. </w:t>
      </w:r>
    </w:p>
    <w:p>
      <w:pPr>
        <w:pStyle w:val="Normal"/>
        <w:ind w:end="-31" w:firstLine="720"/>
        <w:jc w:val="both"/>
        <w:rPr/>
      </w:pPr>
      <w:r>
        <w:rPr>
          <w:rFonts w:eastAsia="MingLiU;細明體" w:cs="Garamond" w:ascii="Garamond" w:hAnsi="Garamond"/>
          <w:sz w:val="24"/>
          <w:szCs w:val="24"/>
        </w:rPr>
        <w:t>Происхождение культа Ганеши до сих пор неясно. В «Ригведе» (</w:t>
      </w:r>
      <w:r>
        <w:rPr>
          <w:rFonts w:eastAsia="MingLiU;細明體" w:cs="Garamond" w:ascii="Garamond" w:hAnsi="Garamond"/>
          <w:sz w:val="24"/>
          <w:szCs w:val="24"/>
          <w:lang w:val="en-US"/>
        </w:rPr>
        <w:t>II</w:t>
      </w:r>
      <w:r>
        <w:rPr>
          <w:rFonts w:eastAsia="MingLiU;細明體" w:cs="Garamond" w:ascii="Garamond" w:hAnsi="Garamond"/>
          <w:sz w:val="24"/>
          <w:szCs w:val="24"/>
        </w:rPr>
        <w:t xml:space="preserve"> тыс. до н. э.) встречаются упоминания о злых духах </w:t>
      </w:r>
      <w:r>
        <w:rPr>
          <w:rFonts w:eastAsia="MingLiU;細明體" w:cs="Garamond" w:ascii="Garamond" w:hAnsi="Garamond"/>
          <w:i/>
          <w:sz w:val="24"/>
          <w:szCs w:val="24"/>
        </w:rPr>
        <w:t xml:space="preserve">винаяках </w:t>
      </w:r>
      <w:r>
        <w:rPr>
          <w:rFonts w:eastAsia="MingLiU;細明體" w:cs="Garamond" w:ascii="Garamond" w:hAnsi="Garamond"/>
          <w:sz w:val="24"/>
          <w:szCs w:val="24"/>
        </w:rPr>
        <w:t xml:space="preserve">и </w:t>
      </w:r>
      <w:r>
        <w:rPr>
          <w:rFonts w:eastAsia="MingLiU;細明體" w:cs="Garamond" w:ascii="Garamond" w:hAnsi="Garamond"/>
          <w:i/>
          <w:sz w:val="24"/>
          <w:szCs w:val="24"/>
        </w:rPr>
        <w:t>ганах</w:t>
      </w:r>
      <w:r>
        <w:rPr>
          <w:rFonts w:eastAsia="MingLiU;細明體" w:cs="Garamond" w:ascii="Garamond" w:hAnsi="Garamond"/>
          <w:sz w:val="24"/>
          <w:szCs w:val="24"/>
        </w:rPr>
        <w:t xml:space="preserve">, позже ассоциировавшихся с Ганешей. В источниках </w:t>
      </w:r>
      <w:r>
        <w:rPr>
          <w:rFonts w:eastAsia="MingLiU;細明體" w:cs="Garamond" w:ascii="Garamond" w:hAnsi="Garamond"/>
          <w:sz w:val="24"/>
          <w:szCs w:val="24"/>
          <w:lang w:val="en-US"/>
        </w:rPr>
        <w:t>I</w:t>
      </w:r>
      <w:r>
        <w:rPr>
          <w:rFonts w:eastAsia="MingLiU;細明體" w:cs="Garamond" w:ascii="Garamond" w:hAnsi="Garamond"/>
          <w:sz w:val="24"/>
          <w:szCs w:val="24"/>
        </w:rPr>
        <w:t> тыс. до н. э. — «Манавагрихья сутра» (</w:t>
      </w:r>
      <w:r>
        <w:rPr>
          <w:rFonts w:eastAsia="MingLiU;細明體" w:cs="Garamond" w:ascii="Garamond" w:hAnsi="Garamond"/>
          <w:sz w:val="24"/>
          <w:szCs w:val="24"/>
          <w:lang w:val="en-US"/>
        </w:rPr>
        <w:t>VII</w:t>
      </w:r>
      <w:r>
        <w:rPr>
          <w:rFonts w:eastAsia="MingLiU;細明體" w:cs="Garamond" w:ascii="Garamond" w:hAnsi="Garamond"/>
          <w:sz w:val="24"/>
          <w:szCs w:val="24"/>
        </w:rPr>
        <w:t xml:space="preserve"> в. до н. э. – </w:t>
      </w:r>
      <w:r>
        <w:rPr>
          <w:rFonts w:eastAsia="MingLiU;細明體" w:cs="Garamond" w:ascii="Garamond" w:hAnsi="Garamond"/>
          <w:sz w:val="24"/>
          <w:szCs w:val="24"/>
          <w:lang w:val="en-US"/>
        </w:rPr>
        <w:t>IV</w:t>
      </w:r>
      <w:r>
        <w:rPr>
          <w:rFonts w:eastAsia="MingLiU;細明體" w:cs="Garamond" w:ascii="Garamond" w:hAnsi="Garamond"/>
          <w:sz w:val="24"/>
          <w:szCs w:val="24"/>
        </w:rPr>
        <w:t> в. н. э.) и «Яджнавалкьясмрити» (</w:t>
      </w:r>
      <w:r>
        <w:rPr>
          <w:rFonts w:eastAsia="MingLiU;細明體" w:cs="Garamond" w:ascii="Garamond" w:hAnsi="Garamond"/>
          <w:sz w:val="24"/>
          <w:szCs w:val="24"/>
          <w:lang w:val="en-US"/>
        </w:rPr>
        <w:t>III</w:t>
      </w:r>
      <w:r>
        <w:rPr>
          <w:rFonts w:eastAsia="MingLiU;細明體" w:cs="Garamond" w:ascii="Garamond" w:hAnsi="Garamond"/>
          <w:sz w:val="24"/>
          <w:szCs w:val="24"/>
        </w:rPr>
        <w:t>–</w:t>
      </w:r>
      <w:r>
        <w:rPr>
          <w:rFonts w:eastAsia="MingLiU;細明體" w:cs="Garamond" w:ascii="Garamond" w:hAnsi="Garamond"/>
          <w:sz w:val="24"/>
          <w:szCs w:val="24"/>
          <w:lang w:val="en-US"/>
        </w:rPr>
        <w:t>IV</w:t>
      </w:r>
      <w:r>
        <w:rPr>
          <w:rFonts w:eastAsia="MingLiU;細明體" w:cs="Garamond" w:ascii="Garamond" w:hAnsi="Garamond"/>
          <w:sz w:val="24"/>
          <w:szCs w:val="24"/>
        </w:rPr>
        <w:t xml:space="preserve"> вв. н. э.), также говорится о </w:t>
      </w:r>
      <w:r>
        <w:rPr>
          <w:rFonts w:eastAsia="MingLiU;細明體" w:cs="Garamond" w:ascii="Garamond" w:hAnsi="Garamond"/>
          <w:i/>
          <w:sz w:val="24"/>
          <w:szCs w:val="24"/>
        </w:rPr>
        <w:t>винаяках</w:t>
      </w:r>
      <w:r>
        <w:rPr>
          <w:rFonts w:eastAsia="MingLiU;細明體" w:cs="Garamond" w:ascii="Garamond" w:hAnsi="Garamond"/>
          <w:sz w:val="24"/>
          <w:szCs w:val="24"/>
        </w:rPr>
        <w:t xml:space="preserve"> как о четырех демонах с головами слонов, препятствующих торговле, земледелию и плодородию. Для того чтобы их умилостивить, требуются ритуальные подношения. В «Яджнавалкьясмрити» содержится важное уточнение о том, что эти четыре демона являются воплощением одного божества Махаганапати (</w:t>
      </w:r>
      <w:r>
        <w:rPr>
          <w:rFonts w:eastAsia="MingLiU;細明體" w:cs="Garamond" w:ascii="Garamond" w:hAnsi="Garamond"/>
          <w:i/>
          <w:sz w:val="24"/>
          <w:szCs w:val="24"/>
        </w:rPr>
        <w:t>илл. 4</w:t>
      </w:r>
      <w:r>
        <w:rPr>
          <w:rFonts w:eastAsia="MingLiU;細明體" w:cs="Garamond" w:ascii="Garamond" w:hAnsi="Garamond"/>
          <w:sz w:val="24"/>
          <w:szCs w:val="24"/>
        </w:rPr>
        <w:t xml:space="preserve">), с головой слона и человеческим телом, которого Брахма и Шива назначили предводителем </w:t>
      </w:r>
      <w:r>
        <w:rPr>
          <w:rFonts w:eastAsia="MingLiU;細明體" w:cs="Garamond" w:ascii="Garamond" w:hAnsi="Garamond"/>
          <w:i/>
          <w:sz w:val="24"/>
          <w:szCs w:val="24"/>
        </w:rPr>
        <w:t>ганов</w:t>
      </w:r>
      <w:r>
        <w:rPr>
          <w:rFonts w:eastAsia="MingLiU;細明體" w:cs="Garamond" w:ascii="Garamond" w:hAnsi="Garamond"/>
          <w:sz w:val="24"/>
          <w:szCs w:val="24"/>
        </w:rPr>
        <w:t xml:space="preserve">. По мнению Л. Россилса этот Махаганапати мог быть прототипом Ганеши. Изображения </w:t>
      </w:r>
      <w:r>
        <w:rPr>
          <w:rFonts w:eastAsia="MingLiU;細明體" w:cs="Garamond" w:ascii="Garamond" w:hAnsi="Garamond"/>
          <w:i/>
          <w:sz w:val="24"/>
          <w:szCs w:val="24"/>
        </w:rPr>
        <w:t>винаяк</w:t>
      </w:r>
      <w:r>
        <w:rPr>
          <w:rFonts w:eastAsia="MingLiU;細明體" w:cs="Garamond" w:ascii="Garamond" w:hAnsi="Garamond"/>
          <w:sz w:val="24"/>
          <w:szCs w:val="24"/>
        </w:rPr>
        <w:t xml:space="preserve"> со слоновьими головами, известных как </w:t>
      </w:r>
      <w:r>
        <w:rPr>
          <w:rFonts w:eastAsia="MingLiU;細明體" w:cs="Garamond" w:ascii="Garamond" w:hAnsi="Garamond"/>
          <w:i/>
          <w:sz w:val="24"/>
          <w:szCs w:val="24"/>
        </w:rPr>
        <w:t>панча Ганеша,</w:t>
      </w:r>
      <w:r>
        <w:rPr>
          <w:rFonts w:eastAsia="MingLiU;細明體" w:cs="Garamond" w:ascii="Garamond" w:hAnsi="Garamond"/>
          <w:sz w:val="24"/>
          <w:szCs w:val="24"/>
        </w:rPr>
        <w:t xml:space="preserve"> встречаются на рельефах ступы в Амравати и в Матхуре (</w:t>
      </w:r>
      <w:r>
        <w:rPr>
          <w:rFonts w:eastAsia="MingLiU;細明體" w:cs="Garamond" w:ascii="Garamond" w:hAnsi="Garamond"/>
          <w:sz w:val="24"/>
          <w:szCs w:val="24"/>
          <w:lang w:val="en-US"/>
        </w:rPr>
        <w:t>III</w:t>
      </w:r>
      <w:r>
        <w:rPr>
          <w:rFonts w:eastAsia="MingLiU;細明體" w:cs="Garamond" w:ascii="Garamond" w:hAnsi="Garamond"/>
          <w:sz w:val="24"/>
          <w:szCs w:val="24"/>
        </w:rPr>
        <w:t>–</w:t>
      </w:r>
      <w:r>
        <w:rPr>
          <w:rFonts w:eastAsia="MingLiU;細明體" w:cs="Garamond" w:ascii="Garamond" w:hAnsi="Garamond"/>
          <w:sz w:val="24"/>
          <w:szCs w:val="24"/>
          <w:lang w:val="en-US"/>
        </w:rPr>
        <w:t>IV</w:t>
      </w:r>
      <w:r>
        <w:rPr>
          <w:rFonts w:eastAsia="MingLiU;細明體" w:cs="Garamond" w:ascii="Garamond" w:hAnsi="Garamond"/>
          <w:sz w:val="24"/>
          <w:szCs w:val="24"/>
        </w:rPr>
        <w:t> вв.)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4–5].</w:t>
      </w:r>
    </w:p>
    <w:p>
      <w:pPr>
        <w:pStyle w:val="Normal"/>
        <w:ind w:end="-31" w:firstLine="720"/>
        <w:jc w:val="both"/>
        <w:rPr/>
      </w:pPr>
      <w:r>
        <w:rPr>
          <w:rFonts w:eastAsia="MingLiU;細明體" w:cs="Garamond" w:ascii="Garamond" w:hAnsi="Garamond"/>
          <w:sz w:val="24"/>
          <w:szCs w:val="24"/>
        </w:rPr>
        <w:t xml:space="preserve">Широко известна легенда о том, что Ганеша написал текст «Махабхараты» под диктовку Вьясы — легендарного мудреца, которому приписывается авторство текстов Пуран, Вед и «Махабхараты». Однако в ранней версии текста, датируемой </w:t>
      </w:r>
      <w:r>
        <w:rPr>
          <w:rFonts w:eastAsia="MingLiU;細明體" w:cs="Garamond" w:ascii="Garamond" w:hAnsi="Garamond"/>
          <w:sz w:val="24"/>
          <w:szCs w:val="24"/>
          <w:lang w:val="en-US"/>
        </w:rPr>
        <w:t>IV</w:t>
      </w:r>
      <w:r>
        <w:rPr>
          <w:rFonts w:eastAsia="MingLiU;細明體" w:cs="Garamond" w:ascii="Garamond" w:hAnsi="Garamond"/>
          <w:sz w:val="24"/>
          <w:szCs w:val="24"/>
        </w:rPr>
        <w:t xml:space="preserve"> в., упоминание о Ганеше отсутствует, встречаются лишь сведения о </w:t>
      </w:r>
      <w:r>
        <w:rPr>
          <w:rFonts w:eastAsia="MingLiU;細明體" w:cs="Garamond" w:ascii="Garamond" w:hAnsi="Garamond"/>
          <w:i/>
          <w:sz w:val="24"/>
          <w:szCs w:val="24"/>
        </w:rPr>
        <w:t>винаяках</w:t>
      </w:r>
      <w:r>
        <w:rPr>
          <w:rFonts w:eastAsia="MingLiU;細明體" w:cs="Garamond" w:ascii="Garamond" w:hAnsi="Garamond"/>
          <w:sz w:val="24"/>
          <w:szCs w:val="24"/>
        </w:rPr>
        <w:t xml:space="preserve"> как о разновидности демонов, входящих в свиту Шивы. Лишь в более позднем тексте, относящемся к </w:t>
      </w:r>
      <w:r>
        <w:rPr>
          <w:rFonts w:eastAsia="MingLiU;細明體" w:cs="Garamond" w:ascii="Garamond" w:hAnsi="Garamond"/>
          <w:sz w:val="24"/>
          <w:szCs w:val="24"/>
          <w:lang w:val="en-US"/>
        </w:rPr>
        <w:t>VIII</w:t>
      </w:r>
      <w:r>
        <w:rPr>
          <w:rFonts w:eastAsia="MingLiU;細明體" w:cs="Garamond" w:ascii="Garamond" w:hAnsi="Garamond"/>
          <w:sz w:val="24"/>
          <w:szCs w:val="24"/>
        </w:rPr>
        <w:t xml:space="preserve"> в. н. э., рассказывается легенда о том, как Ганеша записывал слова Вьясы, отломив у себя один бивень. К </w:t>
      </w:r>
      <w:r>
        <w:rPr>
          <w:rFonts w:eastAsia="MingLiU;細明體" w:cs="Garamond" w:ascii="Garamond" w:hAnsi="Garamond"/>
          <w:sz w:val="24"/>
          <w:szCs w:val="24"/>
          <w:lang w:val="en-US"/>
        </w:rPr>
        <w:t>IV</w:t>
      </w:r>
      <w:r>
        <w:rPr>
          <w:rFonts w:eastAsia="MingLiU;細明體" w:cs="Garamond" w:ascii="Garamond" w:hAnsi="Garamond"/>
          <w:sz w:val="24"/>
          <w:szCs w:val="24"/>
        </w:rPr>
        <w:t> в. н. э. четыре демона-</w:t>
      </w:r>
      <w:r>
        <w:rPr>
          <w:rFonts w:eastAsia="MingLiU;細明體" w:cs="Garamond" w:ascii="Garamond" w:hAnsi="Garamond"/>
          <w:i/>
          <w:sz w:val="24"/>
          <w:szCs w:val="24"/>
        </w:rPr>
        <w:t>винаяки</w:t>
      </w:r>
      <w:r>
        <w:rPr>
          <w:rFonts w:eastAsia="MingLiU;細明體" w:cs="Garamond" w:ascii="Garamond" w:hAnsi="Garamond"/>
          <w:sz w:val="24"/>
          <w:szCs w:val="24"/>
        </w:rPr>
        <w:t xml:space="preserve"> были объединены в отдельное божество Винаяка-Махаганапати, которому поклонялись, чтобы избежать болезней, неурожаев и денежных потерь. Божество стало столь популярно, что вошло в индуистский пантеон наряду с Рудрой и Шивой и приобрело характерные атрибуты ведических богов — ваджру, лотос, топор и аркан. Это божество также почиталось под именами Махавинаяка, Вигнеша, Вигнешвара или Вигнараджа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6–7].</w:t>
      </w:r>
    </w:p>
    <w:p>
      <w:pPr>
        <w:pStyle w:val="Normal"/>
        <w:ind w:end="-31" w:firstLine="720"/>
        <w:jc w:val="both"/>
        <w:rPr>
          <w:rFonts w:ascii="Garamond" w:hAnsi="Garamond" w:eastAsia="MingLiU;細明體" w:cs="Garamond"/>
          <w:sz w:val="24"/>
          <w:szCs w:val="24"/>
          <w:lang w:val="en-US"/>
        </w:rPr>
      </w:pPr>
      <w:r>
        <w:rPr>
          <w:rFonts w:eastAsia="MingLiU;細明體" w:cs="Garamond" w:ascii="Garamond" w:hAnsi="Garamond"/>
          <w:sz w:val="24"/>
          <w:szCs w:val="24"/>
        </w:rPr>
        <w:t xml:space="preserve">В текстах Пуран содержатся различные версии о происхождении Ганеши, однако наибольшую популярность приобрели истории, в которых Ганеша является сыном Шивы и Парвати, он доблестно выполняет долг божества-хранителя и становится предводителем войска ганов; из-за его мужественного противостояния ему отрубают голову и взамен приставляют голову слона. Благодаря этой новой трактовке, изменившей изначально демоническую природу, к </w:t>
      </w:r>
      <w:r>
        <w:rPr>
          <w:rFonts w:eastAsia="MingLiU;細明體" w:cs="Garamond" w:ascii="Garamond" w:hAnsi="Garamond"/>
          <w:sz w:val="24"/>
          <w:szCs w:val="24"/>
          <w:lang w:val="en-US"/>
        </w:rPr>
        <w:t>V</w:t>
      </w:r>
      <w:r>
        <w:rPr>
          <w:rFonts w:eastAsia="MingLiU;細明體" w:cs="Garamond" w:ascii="Garamond" w:hAnsi="Garamond"/>
          <w:sz w:val="24"/>
          <w:szCs w:val="24"/>
        </w:rPr>
        <w:t> в. Ганеша стал почитаться как божество, устраняющее препятствия, дарующее защиту, процветание и благоденствие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7–9].</w:t>
      </w:r>
      <w:r>
        <mc:AlternateContent>
          <mc:Choice Requires="wps">
            <w:drawing>
              <wp:anchor behindDoc="0" distT="0" distB="0" distL="114300" distR="0" simplePos="0" locked="0" layoutInCell="1" allowOverlap="1" relativeHeight="2">
                <wp:simplePos x="0" y="0"/>
                <wp:positionH relativeFrom="margin">
                  <wp:align>right</wp:align>
                </wp:positionH>
                <wp:positionV relativeFrom="paragraph">
                  <wp:posOffset>20320</wp:posOffset>
                </wp:positionV>
                <wp:extent cx="3726180" cy="5799455"/>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726180" cy="5799455"/>
                        </a:xfrm>
                        <a:prstGeom prst="rect"/>
                        <a:solidFill>
                          <a:srgbClr val="FFFFFF">
                            <a:alpha val="0"/>
                          </a:srgbClr>
                        </a:solidFill>
                      </wps:spPr>
                      <wps:txbx>
                        <w:txbxContent>
                          <w:tbl>
                            <w:tblPr>
                              <w:tblW w:w="5868" w:type="dxa"/>
                              <w:jc w:val="start"/>
                              <w:tblInd w:w="0" w:type="dxa"/>
                              <w:tblBorders/>
                              <w:tblCellMar>
                                <w:top w:w="0" w:type="dxa"/>
                                <w:start w:w="108" w:type="dxa"/>
                                <w:bottom w:w="0" w:type="dxa"/>
                                <w:end w:w="108" w:type="dxa"/>
                              </w:tblCellMar>
                            </w:tblPr>
                            <w:tblGrid>
                              <w:gridCol w:w="5868"/>
                            </w:tblGrid>
                            <w:tr>
                              <w:trPr/>
                              <w:tc>
                                <w:tcPr>
                                  <w:tcW w:w="5868" w:type="dxa"/>
                                  <w:tcBorders/>
                                  <w:shd w:fill="auto" w:val="clear"/>
                                </w:tcPr>
                                <w:p>
                                  <w:pPr>
                                    <w:pStyle w:val="Normal"/>
                                    <w:ind w:end="-31" w:hanging="0"/>
                                    <w:jc w:val="end"/>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3573145" cy="4705985"/>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3" t="-2" r="-3" b="-2"/>
                                                <a:stretch>
                                                  <a:fillRect/>
                                                </a:stretch>
                                              </pic:blipFill>
                                              <pic:spPr bwMode="auto">
                                                <a:xfrm>
                                                  <a:off x="0" y="0"/>
                                                  <a:ext cx="3573145" cy="470598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sz w:val="22"/>
                                      <w:szCs w:val="22"/>
                                    </w:rPr>
                                    <w:t>Илл</w:t>
                                  </w:r>
                                  <w:r>
                                    <w:rPr>
                                      <w:rFonts w:eastAsia="MingLiU;細明體" w:cs="Garamond" w:ascii="Garamond" w:hAnsi="Garamond"/>
                                      <w:i/>
                                      <w:sz w:val="22"/>
                                      <w:szCs w:val="22"/>
                                      <w:lang w:val="en-US"/>
                                    </w:rPr>
                                    <w:t>. 1</w:t>
                                  </w:r>
                                  <w:r>
                                    <w:rPr>
                                      <w:rFonts w:eastAsia="MingLiU;細明體" w:cs="Garamond" w:ascii="Garamond" w:hAnsi="Garamond"/>
                                      <w:sz w:val="22"/>
                                      <w:szCs w:val="22"/>
                                      <w:lang w:val="en-US"/>
                                    </w:rPr>
                                    <w:t xml:space="preserve">. </w:t>
                                  </w:r>
                                  <w:r>
                                    <w:rPr>
                                      <w:rFonts w:eastAsia="MingLiU;細明體" w:cs="Garamond" w:ascii="Garamond" w:hAnsi="Garamond"/>
                                      <w:sz w:val="22"/>
                                      <w:szCs w:val="22"/>
                                    </w:rPr>
                                    <w:t xml:space="preserve">«Танцующий красный Ганапати», Непал, </w:t>
                                  </w:r>
                                  <w:r>
                                    <w:rPr>
                                      <w:rFonts w:eastAsia="MingLiU;細明體" w:cs="Garamond" w:ascii="Garamond" w:hAnsi="Garamond"/>
                                      <w:sz w:val="22"/>
                                      <w:szCs w:val="22"/>
                                      <w:lang w:val="en-US"/>
                                    </w:rPr>
                                    <w:t>XVI </w:t>
                                  </w:r>
                                  <w:r>
                                    <w:rPr>
                                      <w:rFonts w:eastAsia="MingLiU;細明體" w:cs="Garamond" w:ascii="Garamond" w:hAnsi="Garamond"/>
                                      <w:sz w:val="22"/>
                                      <w:szCs w:val="22"/>
                                    </w:rPr>
                                    <w:t>в.</w:t>
                                  </w:r>
                                </w:p>
                                <w:p>
                                  <w:pPr>
                                    <w:pStyle w:val="Normal"/>
                                    <w:ind w:end="-31" w:hanging="0"/>
                                    <w:jc w:val="center"/>
                                    <w:rPr/>
                                  </w:pPr>
                                  <w:r>
                                    <w:rPr>
                                      <w:rFonts w:eastAsia="MingLiU;細明體" w:cs="Garamond" w:ascii="Garamond" w:hAnsi="Garamond"/>
                                      <w:sz w:val="22"/>
                                      <w:szCs w:val="22"/>
                                      <w:lang w:val="en-US"/>
                                    </w:rPr>
                                    <w:t xml:space="preserve">(© Rubin Museum of Art, New York; </w:t>
                                  </w:r>
                                  <w:r>
                                    <w:rPr>
                                      <w:rFonts w:eastAsia="MingLiU;細明體" w:cs="Garamond" w:ascii="Garamond" w:hAnsi="Garamond"/>
                                      <w:sz w:val="22"/>
                                      <w:szCs w:val="22"/>
                                    </w:rPr>
                                    <w:t>по</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The Rubin Museum</w:t>
                                  </w:r>
                                  <w:r>
                                    <w:rPr>
                                      <w:rFonts w:eastAsia="MingLiU;細明體" w:cs="Garamond" w:ascii="Garamond" w:hAnsi="Garamond"/>
                                      <w:sz w:val="22"/>
                                      <w:szCs w:val="22"/>
                                      <w:lang w:val="en-US"/>
                                    </w:rPr>
                                    <w:t>. URL</w:t>
                                  </w:r>
                                  <w:r>
                                    <w:rPr>
                                      <w:rFonts w:eastAsia="MingLiU;細明體" w:cs="Garamond" w:ascii="Garamond" w:hAnsi="Garamond"/>
                                      <w:sz w:val="22"/>
                                      <w:szCs w:val="22"/>
                                    </w:rPr>
                                    <w:t xml:space="preserve">: </w:t>
                                  </w:r>
                                  <w:hyperlink r:id="rId4">
                                    <w:r>
                                      <w:rPr>
                                        <w:rStyle w:val="Style15"/>
                                        <w:rFonts w:eastAsia="MingLiU;細明體" w:cs="Garamond" w:ascii="Garamond" w:hAnsi="Garamond"/>
                                        <w:sz w:val="22"/>
                                        <w:szCs w:val="22"/>
                                        <w:lang w:val="en-US"/>
                                      </w:rPr>
                                      <w:t>https</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rubinmuseum</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org</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collection</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artwork</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dancing</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red</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ganapati</w:t>
                                    </w:r>
                                  </w:hyperlink>
                                  <w:r>
                                    <w:rPr>
                                      <w:rFonts w:eastAsia="MingLiU;細明體" w:cs="Garamond" w:ascii="Garamond" w:hAnsi="Garamond"/>
                                      <w:sz w:val="22"/>
                                      <w:szCs w:val="22"/>
                                    </w:rPr>
                                    <w:t>)</w:t>
                                  </w:r>
                                </w:p>
                                <w:p>
                                  <w:pPr>
                                    <w:pStyle w:val="Normal"/>
                                    <w:ind w:end="-31" w:hanging="0"/>
                                    <w:jc w:val="center"/>
                                    <w:rPr>
                                      <w:rFonts w:ascii="Garamond" w:hAnsi="Garamond" w:eastAsia="MingLiU;細明體" w:cs="Garamond"/>
                                      <w:sz w:val="16"/>
                                      <w:szCs w:val="16"/>
                                    </w:rPr>
                                  </w:pPr>
                                  <w:r>
                                    <w:rPr>
                                      <w:rFonts w:eastAsia="MingLiU;細明體" w:cs="Garamond" w:ascii="Garamond" w:hAnsi="Garamond"/>
                                      <w:sz w:val="16"/>
                                      <w:szCs w:val="16"/>
                                    </w:rPr>
                                  </w:r>
                                </w:p>
                              </w:tc>
                            </w:tr>
                          </w:tbl>
                        </w:txbxContent>
                      </wps:txbx>
                      <wps:bodyPr anchor="t" lIns="0" tIns="0" rIns="0" bIns="0">
                        <a:noAutofit/>
                      </wps:bodyPr>
                    </wps:wsp>
                  </a:graphicData>
                </a:graphic>
              </wp:anchor>
            </w:drawing>
          </mc:Choice>
          <mc:Fallback>
            <w:pict>
              <v:rect fillcolor="#FFFFFF" style="position:absolute;rotation:0;width:293.4pt;height:456.65pt;mso-wrap-distance-left:9pt;mso-wrap-distance-right:0pt;mso-wrap-distance-top:0pt;mso-wrap-distance-bottom:0pt;margin-top:1.6pt;mso-position-vertical-relative:text;margin-left:146.05pt;mso-position-horizontal:right;mso-position-horizontal-relative:margin">
                <v:fill opacity="0f"/>
                <v:textbox>
                  <w:txbxContent>
                    <w:tbl>
                      <w:tblPr>
                        <w:tblW w:w="5868" w:type="dxa"/>
                        <w:jc w:val="start"/>
                        <w:tblInd w:w="0" w:type="dxa"/>
                        <w:tblBorders/>
                        <w:tblCellMar>
                          <w:top w:w="0" w:type="dxa"/>
                          <w:start w:w="108" w:type="dxa"/>
                          <w:bottom w:w="0" w:type="dxa"/>
                          <w:end w:w="108" w:type="dxa"/>
                        </w:tblCellMar>
                      </w:tblPr>
                      <w:tblGrid>
                        <w:gridCol w:w="5868"/>
                      </w:tblGrid>
                      <w:tr>
                        <w:trPr/>
                        <w:tc>
                          <w:tcPr>
                            <w:tcW w:w="5868" w:type="dxa"/>
                            <w:tcBorders/>
                            <w:shd w:fill="auto" w:val="clear"/>
                          </w:tcPr>
                          <w:p>
                            <w:pPr>
                              <w:pStyle w:val="Normal"/>
                              <w:ind w:end="-31" w:hanging="0"/>
                              <w:jc w:val="end"/>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3573145" cy="4705985"/>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3" t="-2" r="-3" b="-2"/>
                                          <a:stretch>
                                            <a:fillRect/>
                                          </a:stretch>
                                        </pic:blipFill>
                                        <pic:spPr bwMode="auto">
                                          <a:xfrm>
                                            <a:off x="0" y="0"/>
                                            <a:ext cx="3573145" cy="470598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sz w:val="22"/>
                                <w:szCs w:val="22"/>
                              </w:rPr>
                              <w:t>Илл</w:t>
                            </w:r>
                            <w:r>
                              <w:rPr>
                                <w:rFonts w:eastAsia="MingLiU;細明體" w:cs="Garamond" w:ascii="Garamond" w:hAnsi="Garamond"/>
                                <w:i/>
                                <w:sz w:val="22"/>
                                <w:szCs w:val="22"/>
                                <w:lang w:val="en-US"/>
                              </w:rPr>
                              <w:t>. 1</w:t>
                            </w:r>
                            <w:r>
                              <w:rPr>
                                <w:rFonts w:eastAsia="MingLiU;細明體" w:cs="Garamond" w:ascii="Garamond" w:hAnsi="Garamond"/>
                                <w:sz w:val="22"/>
                                <w:szCs w:val="22"/>
                                <w:lang w:val="en-US"/>
                              </w:rPr>
                              <w:t xml:space="preserve">. </w:t>
                            </w:r>
                            <w:r>
                              <w:rPr>
                                <w:rFonts w:eastAsia="MingLiU;細明體" w:cs="Garamond" w:ascii="Garamond" w:hAnsi="Garamond"/>
                                <w:sz w:val="22"/>
                                <w:szCs w:val="22"/>
                              </w:rPr>
                              <w:t xml:space="preserve">«Танцующий красный Ганапати», Непал, </w:t>
                            </w:r>
                            <w:r>
                              <w:rPr>
                                <w:rFonts w:eastAsia="MingLiU;細明體" w:cs="Garamond" w:ascii="Garamond" w:hAnsi="Garamond"/>
                                <w:sz w:val="22"/>
                                <w:szCs w:val="22"/>
                                <w:lang w:val="en-US"/>
                              </w:rPr>
                              <w:t>XVI </w:t>
                            </w:r>
                            <w:r>
                              <w:rPr>
                                <w:rFonts w:eastAsia="MingLiU;細明體" w:cs="Garamond" w:ascii="Garamond" w:hAnsi="Garamond"/>
                                <w:sz w:val="22"/>
                                <w:szCs w:val="22"/>
                              </w:rPr>
                              <w:t>в.</w:t>
                            </w:r>
                          </w:p>
                          <w:p>
                            <w:pPr>
                              <w:pStyle w:val="Normal"/>
                              <w:ind w:end="-31" w:hanging="0"/>
                              <w:jc w:val="center"/>
                              <w:rPr/>
                            </w:pPr>
                            <w:r>
                              <w:rPr>
                                <w:rFonts w:eastAsia="MingLiU;細明體" w:cs="Garamond" w:ascii="Garamond" w:hAnsi="Garamond"/>
                                <w:sz w:val="22"/>
                                <w:szCs w:val="22"/>
                                <w:lang w:val="en-US"/>
                              </w:rPr>
                              <w:t xml:space="preserve">(© Rubin Museum of Art, New York; </w:t>
                            </w:r>
                            <w:r>
                              <w:rPr>
                                <w:rFonts w:eastAsia="MingLiU;細明體" w:cs="Garamond" w:ascii="Garamond" w:hAnsi="Garamond"/>
                                <w:sz w:val="22"/>
                                <w:szCs w:val="22"/>
                              </w:rPr>
                              <w:t>по</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The Rubin Museum</w:t>
                            </w:r>
                            <w:r>
                              <w:rPr>
                                <w:rFonts w:eastAsia="MingLiU;細明體" w:cs="Garamond" w:ascii="Garamond" w:hAnsi="Garamond"/>
                                <w:sz w:val="22"/>
                                <w:szCs w:val="22"/>
                                <w:lang w:val="en-US"/>
                              </w:rPr>
                              <w:t>. URL</w:t>
                            </w:r>
                            <w:r>
                              <w:rPr>
                                <w:rFonts w:eastAsia="MingLiU;細明體" w:cs="Garamond" w:ascii="Garamond" w:hAnsi="Garamond"/>
                                <w:sz w:val="22"/>
                                <w:szCs w:val="22"/>
                              </w:rPr>
                              <w:t xml:space="preserve">: </w:t>
                            </w:r>
                            <w:hyperlink r:id="rId5">
                              <w:r>
                                <w:rPr>
                                  <w:rStyle w:val="Style15"/>
                                  <w:rFonts w:eastAsia="MingLiU;細明體" w:cs="Garamond" w:ascii="Garamond" w:hAnsi="Garamond"/>
                                  <w:sz w:val="22"/>
                                  <w:szCs w:val="22"/>
                                  <w:lang w:val="en-US"/>
                                </w:rPr>
                                <w:t>https</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rubinmuseum</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org</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collection</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artwork</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dancing</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red</w:t>
                              </w:r>
                              <w:r>
                                <w:rPr>
                                  <w:rStyle w:val="Style15"/>
                                  <w:rFonts w:eastAsia="MingLiU;細明體" w:cs="Garamond" w:ascii="Garamond" w:hAnsi="Garamond"/>
                                  <w:sz w:val="22"/>
                                  <w:szCs w:val="22"/>
                                </w:rPr>
                                <w:t>-</w:t>
                              </w:r>
                              <w:r>
                                <w:rPr>
                                  <w:rStyle w:val="Style15"/>
                                  <w:rFonts w:eastAsia="MingLiU;細明體" w:cs="Garamond" w:ascii="Garamond" w:hAnsi="Garamond"/>
                                  <w:sz w:val="22"/>
                                  <w:szCs w:val="22"/>
                                  <w:lang w:val="en-US"/>
                                </w:rPr>
                                <w:t>ganapati</w:t>
                              </w:r>
                            </w:hyperlink>
                            <w:r>
                              <w:rPr>
                                <w:rFonts w:eastAsia="MingLiU;細明體" w:cs="Garamond" w:ascii="Garamond" w:hAnsi="Garamond"/>
                                <w:sz w:val="22"/>
                                <w:szCs w:val="22"/>
                              </w:rPr>
                              <w:t>)</w:t>
                            </w:r>
                          </w:p>
                          <w:p>
                            <w:pPr>
                              <w:pStyle w:val="Normal"/>
                              <w:ind w:end="-31" w:hanging="0"/>
                              <w:jc w:val="center"/>
                              <w:rPr>
                                <w:rFonts w:ascii="Garamond" w:hAnsi="Garamond" w:eastAsia="MingLiU;細明體" w:cs="Garamond"/>
                                <w:sz w:val="16"/>
                                <w:szCs w:val="16"/>
                              </w:rPr>
                            </w:pPr>
                            <w:r>
                              <w:rPr>
                                <w:rFonts w:eastAsia="MingLiU;細明體" w:cs="Garamond" w:ascii="Garamond" w:hAnsi="Garamond"/>
                                <w:sz w:val="16"/>
                                <w:szCs w:val="16"/>
                              </w:rPr>
                            </w:r>
                          </w:p>
                        </w:tc>
                      </w:tr>
                    </w:tbl>
                  </w:txbxContent>
                </v:textbox>
                <w10:wrap type="square"/>
              </v:rect>
            </w:pict>
          </mc:Fallback>
        </mc:AlternateContent>
      </w:r>
    </w:p>
    <w:p>
      <w:pPr>
        <w:pStyle w:val="Normal"/>
        <w:ind w:end="-31" w:firstLine="720"/>
        <w:jc w:val="both"/>
        <w:rPr/>
      </w:pPr>
      <w:r>
        <w:rPr>
          <w:rFonts w:eastAsia="MingLiU;細明體" w:cs="Garamond" w:ascii="Garamond" w:hAnsi="Garamond"/>
          <w:sz w:val="24"/>
          <w:szCs w:val="24"/>
        </w:rPr>
        <w:t xml:space="preserve">С появлением буддизма Ганеша, наряду с другими индуистскими божествами, был включен в буддийский пантеон, позже вошедший в тантрический буддизм, по причине чего по мере распространения буддизма за пределами Индии он приобрел большую известность в качестве тантрического божества. В тибетском буддизме Ганеша вошел в число божеств-хранителей Дхармы и был известен как Махаракта Ганапати, Херамба Ганапати и Аджнавиниварта Ганапати. </w:t>
      </w:r>
    </w:p>
    <w:p>
      <w:pPr>
        <w:pStyle w:val="Normal"/>
        <w:ind w:end="-31" w:firstLine="720"/>
        <w:jc w:val="both"/>
        <w:rPr>
          <w:rFonts w:ascii="Garamond" w:hAnsi="Garamond" w:eastAsia="MingLiU;細明體" w:cs="Garamond"/>
          <w:sz w:val="24"/>
          <w:szCs w:val="24"/>
          <w:lang w:val="en-US"/>
        </w:rPr>
      </w:pPr>
      <w:r>
        <w:rPr>
          <w:rFonts w:eastAsia="MingLiU;細明體" w:cs="Garamond" w:ascii="Garamond" w:hAnsi="Garamond"/>
          <w:sz w:val="24"/>
          <w:szCs w:val="24"/>
        </w:rPr>
        <w:t>Махаракта Ганапати является одним из самых известных изображений Ганеши в тибетском буддизме (</w:t>
      </w:r>
      <w:r>
        <w:rPr>
          <w:rFonts w:eastAsia="MingLiU;細明體" w:cs="Garamond" w:ascii="Garamond" w:hAnsi="Garamond"/>
          <w:i/>
          <w:sz w:val="24"/>
          <w:szCs w:val="24"/>
        </w:rPr>
        <w:t>илл. 1</w:t>
      </w:r>
      <w:r>
        <w:rPr>
          <w:rFonts w:eastAsia="MingLiU;細明體" w:cs="Garamond" w:ascii="Garamond" w:hAnsi="Garamond"/>
          <w:sz w:val="24"/>
          <w:szCs w:val="24"/>
        </w:rPr>
        <w:t>). Обычно он изображается с красным телом, тремя глазами и двенадцатью руками, в которых держит оружие, чаши из человеческих черепов, наполненных кровью, и различные части тела. Нередко встречаются его изображения в танцующей позе. Ганеша в образе Херамба Ганапати имеет пять голов и десять рук и, в отличие от Махаракты Ганапати, изображается восседающим на крысе, в короне из человеческого черепа и змеей вместо пояса.</w:t>
      </w:r>
    </w:p>
    <w:p>
      <w:pPr>
        <w:pStyle w:val="Normal"/>
        <w:ind w:end="-31" w:firstLine="720"/>
        <w:jc w:val="both"/>
        <w:rPr/>
      </w:pPr>
      <w:r>
        <w:rPr>
          <w:rFonts w:eastAsia="MingLiU;細明體" w:cs="Garamond" w:ascii="Garamond" w:hAnsi="Garamond"/>
          <w:sz w:val="24"/>
          <w:szCs w:val="24"/>
        </w:rPr>
        <w:t>При этом следует отметить, что в Тибете также были популярны изображения Ганеши в виде слоноподобного существа, попираемого Махакалой — гневной ипостасью бодхисаттвы Авалокитешвары (</w:t>
      </w:r>
      <w:r>
        <w:rPr>
          <w:rFonts w:eastAsia="MingLiU;細明體" w:cs="Garamond" w:ascii="Garamond" w:hAnsi="Garamond"/>
          <w:i/>
          <w:sz w:val="24"/>
          <w:szCs w:val="24"/>
        </w:rPr>
        <w:t>илл. 2</w:t>
      </w:r>
      <w:r>
        <w:rPr>
          <w:rFonts w:eastAsia="MingLiU;細明體" w:cs="Garamond" w:ascii="Garamond" w:hAnsi="Garamond"/>
          <w:sz w:val="24"/>
          <w:szCs w:val="24"/>
        </w:rPr>
        <w:t>).</w:t>
      </w:r>
      <w:r>
        <mc:AlternateContent>
          <mc:Choice Requires="wps">
            <w:drawing>
              <wp:anchor behindDoc="0" distT="0" distB="0" distL="0" distR="114300" simplePos="0" locked="0" layoutInCell="1" allowOverlap="1" relativeHeight="4">
                <wp:simplePos x="0" y="0"/>
                <wp:positionH relativeFrom="margin">
                  <wp:posOffset>-68580</wp:posOffset>
                </wp:positionH>
                <wp:positionV relativeFrom="paragraph">
                  <wp:posOffset>363220</wp:posOffset>
                </wp:positionV>
                <wp:extent cx="2240280" cy="4402455"/>
                <wp:effectExtent l="0" t="0" r="0" b="0"/>
                <wp:wrapSquare wrapText="bothSides"/>
                <wp:docPr id="5" name="Врезка2"/>
                <a:graphic xmlns:a="http://schemas.openxmlformats.org/drawingml/2006/main">
                  <a:graphicData uri="http://schemas.microsoft.com/office/word/2010/wordprocessingShape">
                    <wps:wsp>
                      <wps:cNvSpPr txBox="1"/>
                      <wps:spPr>
                        <a:xfrm>
                          <a:off x="0" y="0"/>
                          <a:ext cx="2240280" cy="4402455"/>
                        </a:xfrm>
                        <a:prstGeom prst="rect"/>
                        <a:solidFill>
                          <a:srgbClr val="FFFFFF">
                            <a:alpha val="0"/>
                          </a:srgbClr>
                        </a:solidFill>
                      </wps:spPr>
                      <wps:txbx>
                        <w:txbxContent>
                          <w:tbl>
                            <w:tblPr>
                              <w:tblW w:w="3528" w:type="dxa"/>
                              <w:jc w:val="start"/>
                              <w:tblInd w:w="0" w:type="dxa"/>
                              <w:tblBorders/>
                              <w:tblCellMar>
                                <w:top w:w="0" w:type="dxa"/>
                                <w:start w:w="108" w:type="dxa"/>
                                <w:bottom w:w="0" w:type="dxa"/>
                                <w:end w:w="108" w:type="dxa"/>
                              </w:tblCellMar>
                            </w:tblPr>
                            <w:tblGrid>
                              <w:gridCol w:w="3528"/>
                            </w:tblGrid>
                            <w:tr>
                              <w:trPr/>
                              <w:tc>
                                <w:tcPr>
                                  <w:tcW w:w="3528" w:type="dxa"/>
                                  <w:tcBorders/>
                                  <w:shd w:fill="auto" w:val="clear"/>
                                </w:tcPr>
                                <w:p>
                                  <w:pPr>
                                    <w:pStyle w:val="Normal"/>
                                    <w:ind w:end="-31" w:hanging="0"/>
                                    <w:jc w:val="both"/>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2152650" cy="2821305"/>
                                        <wp:effectExtent l="0" t="0" r="0" b="0"/>
                                        <wp:docPr id="6"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title=""/>
                                                <pic:cNvPicPr>
                                                  <a:picLocks noChangeAspect="1" noChangeArrowheads="1"/>
                                                </pic:cNvPicPr>
                                              </pic:nvPicPr>
                                              <pic:blipFill>
                                                <a:blip r:embed="rId6"/>
                                                <a:srcRect l="-4" t="-3" r="-4" b="-3"/>
                                                <a:stretch>
                                                  <a:fillRect/>
                                                </a:stretch>
                                              </pic:blipFill>
                                              <pic:spPr bwMode="auto">
                                                <a:xfrm>
                                                  <a:off x="0" y="0"/>
                                                  <a:ext cx="2152650" cy="282130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sz w:val="22"/>
                                      <w:szCs w:val="22"/>
                                    </w:rPr>
                                    <w:t>Илл.</w:t>
                                  </w:r>
                                  <w:r>
                                    <w:rPr>
                                      <w:rFonts w:eastAsia="MingLiU;細明體" w:cs="Garamond" w:ascii="Garamond" w:hAnsi="Garamond"/>
                                      <w:i/>
                                      <w:sz w:val="22"/>
                                      <w:szCs w:val="22"/>
                                      <w:lang w:val="en-US"/>
                                    </w:rPr>
                                    <w:t> </w:t>
                                  </w:r>
                                  <w:r>
                                    <w:rPr>
                                      <w:rFonts w:eastAsia="MingLiU;細明體" w:cs="Garamond" w:ascii="Garamond" w:hAnsi="Garamond"/>
                                      <w:i/>
                                      <w:sz w:val="22"/>
                                      <w:szCs w:val="22"/>
                                    </w:rPr>
                                    <w:t>2</w:t>
                                  </w:r>
                                  <w:r>
                                    <w:rPr>
                                      <w:rFonts w:eastAsia="MingLiU;細明體" w:cs="Garamond" w:ascii="Garamond" w:hAnsi="Garamond"/>
                                      <w:sz w:val="22"/>
                                      <w:szCs w:val="22"/>
                                    </w:rPr>
                                    <w:t xml:space="preserve">. Шестирукий Махакала, Монголия, </w:t>
                                  </w:r>
                                  <w:r>
                                    <w:rPr>
                                      <w:rFonts w:eastAsia="MingLiU;細明體" w:cs="Garamond" w:ascii="Garamond" w:hAnsi="Garamond"/>
                                      <w:sz w:val="22"/>
                                      <w:szCs w:val="22"/>
                                      <w:lang w:val="en-US"/>
                                    </w:rPr>
                                    <w:t>XVIII </w:t>
                                  </w:r>
                                  <w:r>
                                    <w:rPr>
                                      <w:rFonts w:eastAsia="MingLiU;細明體" w:cs="Garamond" w:ascii="Garamond" w:hAnsi="Garamond"/>
                                      <w:sz w:val="22"/>
                                      <w:szCs w:val="22"/>
                                    </w:rPr>
                                    <w:t xml:space="preserve">в. </w:t>
                                  </w:r>
                                </w:p>
                                <w:p>
                                  <w:pPr>
                                    <w:pStyle w:val="Normal"/>
                                    <w:ind w:end="-31" w:hanging="0"/>
                                    <w:jc w:val="center"/>
                                    <w:rPr>
                                      <w:rFonts w:ascii="Garamond" w:hAnsi="Garamond" w:eastAsia="MingLiU;細明體" w:cs="Garamond"/>
                                      <w:sz w:val="22"/>
                                      <w:szCs w:val="22"/>
                                    </w:rPr>
                                  </w:pPr>
                                  <w:r>
                                    <w:rPr>
                                      <w:rFonts w:eastAsia="MingLiU;細明體" w:cs="Garamond" w:ascii="Garamond" w:hAnsi="Garamond"/>
                                      <w:sz w:val="22"/>
                                      <w:szCs w:val="22"/>
                                      <w:lang w:val="en-US"/>
                                    </w:rPr>
                                    <w:t xml:space="preserve">(© Rubin Museum of Art, New York; </w:t>
                                  </w:r>
                                  <w:r>
                                    <w:rPr>
                                      <w:rFonts w:eastAsia="MingLiU;細明體" w:cs="Garamond" w:ascii="Garamond" w:hAnsi="Garamond"/>
                                      <w:sz w:val="22"/>
                                      <w:szCs w:val="22"/>
                                    </w:rPr>
                                    <w:t>по</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The Rubin Museum</w:t>
                                  </w:r>
                                  <w:r>
                                    <w:rPr>
                                      <w:rFonts w:eastAsia="MingLiU;細明體" w:cs="Garamond" w:ascii="Garamond" w:hAnsi="Garamond"/>
                                      <w:sz w:val="22"/>
                                      <w:szCs w:val="22"/>
                                      <w:lang w:val="en-US"/>
                                    </w:rPr>
                                    <w:t xml:space="preserve">. URL: </w:t>
                                  </w:r>
                                  <w:hyperlink r:id="rId7">
                                    <w:r>
                                      <w:rPr>
                                        <w:rStyle w:val="Style15"/>
                                        <w:rFonts w:eastAsia="MingLiU;細明體" w:cs="Garamond" w:ascii="Garamond" w:hAnsi="Garamond"/>
                                        <w:sz w:val="22"/>
                                        <w:szCs w:val="22"/>
                                        <w:lang w:val="en-US"/>
                                      </w:rPr>
                                      <w:t>https://rubinmuseum.org/collection/artwork/six-armed-mahakala</w:t>
                                    </w:r>
                                  </w:hyperlink>
                                  <w:r>
                                    <w:rPr>
                                      <w:rFonts w:eastAsia="MingLiU;細明體" w:cs="Garamond" w:ascii="Garamond" w:hAnsi="Garamond"/>
                                      <w:sz w:val="22"/>
                                      <w:szCs w:val="22"/>
                                      <w:lang w:val="en-US"/>
                                    </w:rPr>
                                    <w:t>)</w:t>
                                  </w:r>
                                </w:p>
                                <w:p>
                                  <w:pPr>
                                    <w:pStyle w:val="Normal"/>
                                    <w:ind w:end="-31" w:hanging="0"/>
                                    <w:jc w:val="center"/>
                                    <w:rPr>
                                      <w:rFonts w:ascii="Garamond" w:hAnsi="Garamond" w:eastAsia="MingLiU;細明體" w:cs="Garamond"/>
                                      <w:sz w:val="16"/>
                                      <w:szCs w:val="16"/>
                                      <w:lang w:val="en-US"/>
                                    </w:rPr>
                                  </w:pPr>
                                  <w:r>
                                    <w:rPr>
                                      <w:rFonts w:eastAsia="MingLiU;細明體" w:cs="Garamond" w:ascii="Garamond" w:hAnsi="Garamond"/>
                                      <w:sz w:val="16"/>
                                      <w:szCs w:val="16"/>
                                      <w:lang w:val="en-US"/>
                                    </w:rPr>
                                  </w:r>
                                </w:p>
                              </w:tc>
                            </w:tr>
                          </w:tbl>
                        </w:txbxContent>
                      </wps:txbx>
                      <wps:bodyPr anchor="t" lIns="0" tIns="0" rIns="0" bIns="0">
                        <a:noAutofit/>
                      </wps:bodyPr>
                    </wps:wsp>
                  </a:graphicData>
                </a:graphic>
              </wp:anchor>
            </w:drawing>
          </mc:Choice>
          <mc:Fallback>
            <w:pict>
              <v:rect fillcolor="#FFFFFF" style="position:absolute;rotation:0;width:176.4pt;height:346.65pt;mso-wrap-distance-left:0pt;mso-wrap-distance-right:9pt;mso-wrap-distance-top:0pt;mso-wrap-distance-bottom:0pt;margin-top:28.6pt;mso-position-vertical-relative:text;margin-left:-5.4pt;mso-position-horizontal-relative:margin">
                <v:fill opacity="0f"/>
                <v:textbox>
                  <w:txbxContent>
                    <w:tbl>
                      <w:tblPr>
                        <w:tblW w:w="3528" w:type="dxa"/>
                        <w:jc w:val="start"/>
                        <w:tblInd w:w="0" w:type="dxa"/>
                        <w:tblBorders/>
                        <w:tblCellMar>
                          <w:top w:w="0" w:type="dxa"/>
                          <w:start w:w="108" w:type="dxa"/>
                          <w:bottom w:w="0" w:type="dxa"/>
                          <w:end w:w="108" w:type="dxa"/>
                        </w:tblCellMar>
                      </w:tblPr>
                      <w:tblGrid>
                        <w:gridCol w:w="3528"/>
                      </w:tblGrid>
                      <w:tr>
                        <w:trPr/>
                        <w:tc>
                          <w:tcPr>
                            <w:tcW w:w="3528" w:type="dxa"/>
                            <w:tcBorders/>
                            <w:shd w:fill="auto" w:val="clear"/>
                          </w:tcPr>
                          <w:p>
                            <w:pPr>
                              <w:pStyle w:val="Normal"/>
                              <w:ind w:end="-31" w:hanging="0"/>
                              <w:jc w:val="both"/>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2152650" cy="2821305"/>
                                  <wp:effectExtent l="0" t="0" r="0" b="0"/>
                                  <wp:docPr id="7"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title=""/>
                                          <pic:cNvPicPr>
                                            <a:picLocks noChangeAspect="1" noChangeArrowheads="1"/>
                                          </pic:cNvPicPr>
                                        </pic:nvPicPr>
                                        <pic:blipFill>
                                          <a:blip r:embed="rId6"/>
                                          <a:srcRect l="-4" t="-3" r="-4" b="-3"/>
                                          <a:stretch>
                                            <a:fillRect/>
                                          </a:stretch>
                                        </pic:blipFill>
                                        <pic:spPr bwMode="auto">
                                          <a:xfrm>
                                            <a:off x="0" y="0"/>
                                            <a:ext cx="2152650" cy="282130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sz w:val="22"/>
                                <w:szCs w:val="22"/>
                              </w:rPr>
                              <w:t>Илл.</w:t>
                            </w:r>
                            <w:r>
                              <w:rPr>
                                <w:rFonts w:eastAsia="MingLiU;細明體" w:cs="Garamond" w:ascii="Garamond" w:hAnsi="Garamond"/>
                                <w:i/>
                                <w:sz w:val="22"/>
                                <w:szCs w:val="22"/>
                                <w:lang w:val="en-US"/>
                              </w:rPr>
                              <w:t> </w:t>
                            </w:r>
                            <w:r>
                              <w:rPr>
                                <w:rFonts w:eastAsia="MingLiU;細明體" w:cs="Garamond" w:ascii="Garamond" w:hAnsi="Garamond"/>
                                <w:i/>
                                <w:sz w:val="22"/>
                                <w:szCs w:val="22"/>
                              </w:rPr>
                              <w:t>2</w:t>
                            </w:r>
                            <w:r>
                              <w:rPr>
                                <w:rFonts w:eastAsia="MingLiU;細明體" w:cs="Garamond" w:ascii="Garamond" w:hAnsi="Garamond"/>
                                <w:sz w:val="22"/>
                                <w:szCs w:val="22"/>
                              </w:rPr>
                              <w:t xml:space="preserve">. Шестирукий Махакала, Монголия, </w:t>
                            </w:r>
                            <w:r>
                              <w:rPr>
                                <w:rFonts w:eastAsia="MingLiU;細明體" w:cs="Garamond" w:ascii="Garamond" w:hAnsi="Garamond"/>
                                <w:sz w:val="22"/>
                                <w:szCs w:val="22"/>
                                <w:lang w:val="en-US"/>
                              </w:rPr>
                              <w:t>XVIII </w:t>
                            </w:r>
                            <w:r>
                              <w:rPr>
                                <w:rFonts w:eastAsia="MingLiU;細明體" w:cs="Garamond" w:ascii="Garamond" w:hAnsi="Garamond"/>
                                <w:sz w:val="22"/>
                                <w:szCs w:val="22"/>
                              </w:rPr>
                              <w:t xml:space="preserve">в. </w:t>
                            </w:r>
                          </w:p>
                          <w:p>
                            <w:pPr>
                              <w:pStyle w:val="Normal"/>
                              <w:ind w:end="-31" w:hanging="0"/>
                              <w:jc w:val="center"/>
                              <w:rPr>
                                <w:rFonts w:ascii="Garamond" w:hAnsi="Garamond" w:eastAsia="MingLiU;細明體" w:cs="Garamond"/>
                                <w:sz w:val="22"/>
                                <w:szCs w:val="22"/>
                              </w:rPr>
                            </w:pPr>
                            <w:r>
                              <w:rPr>
                                <w:rFonts w:eastAsia="MingLiU;細明體" w:cs="Garamond" w:ascii="Garamond" w:hAnsi="Garamond"/>
                                <w:sz w:val="22"/>
                                <w:szCs w:val="22"/>
                                <w:lang w:val="en-US"/>
                              </w:rPr>
                              <w:t xml:space="preserve">(© Rubin Museum of Art, New York; </w:t>
                            </w:r>
                            <w:r>
                              <w:rPr>
                                <w:rFonts w:eastAsia="MingLiU;細明體" w:cs="Garamond" w:ascii="Garamond" w:hAnsi="Garamond"/>
                                <w:sz w:val="22"/>
                                <w:szCs w:val="22"/>
                              </w:rPr>
                              <w:t>по</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The Rubin Museum</w:t>
                            </w:r>
                            <w:r>
                              <w:rPr>
                                <w:rFonts w:eastAsia="MingLiU;細明體" w:cs="Garamond" w:ascii="Garamond" w:hAnsi="Garamond"/>
                                <w:sz w:val="22"/>
                                <w:szCs w:val="22"/>
                                <w:lang w:val="en-US"/>
                              </w:rPr>
                              <w:t xml:space="preserve">. URL: </w:t>
                            </w:r>
                            <w:hyperlink r:id="rId8">
                              <w:r>
                                <w:rPr>
                                  <w:rStyle w:val="Style15"/>
                                  <w:rFonts w:eastAsia="MingLiU;細明體" w:cs="Garamond" w:ascii="Garamond" w:hAnsi="Garamond"/>
                                  <w:sz w:val="22"/>
                                  <w:szCs w:val="22"/>
                                  <w:lang w:val="en-US"/>
                                </w:rPr>
                                <w:t>https://rubinmuseum.org/collection/artwork/six-armed-mahakala</w:t>
                              </w:r>
                            </w:hyperlink>
                            <w:r>
                              <w:rPr>
                                <w:rFonts w:eastAsia="MingLiU;細明體" w:cs="Garamond" w:ascii="Garamond" w:hAnsi="Garamond"/>
                                <w:sz w:val="22"/>
                                <w:szCs w:val="22"/>
                                <w:lang w:val="en-US"/>
                              </w:rPr>
                              <w:t>)</w:t>
                            </w:r>
                          </w:p>
                          <w:p>
                            <w:pPr>
                              <w:pStyle w:val="Normal"/>
                              <w:ind w:end="-31" w:hanging="0"/>
                              <w:jc w:val="center"/>
                              <w:rPr>
                                <w:rFonts w:ascii="Garamond" w:hAnsi="Garamond" w:eastAsia="MingLiU;細明體" w:cs="Garamond"/>
                                <w:sz w:val="16"/>
                                <w:szCs w:val="16"/>
                                <w:lang w:val="en-US"/>
                              </w:rPr>
                            </w:pPr>
                            <w:r>
                              <w:rPr>
                                <w:rFonts w:eastAsia="MingLiU;細明體" w:cs="Garamond" w:ascii="Garamond" w:hAnsi="Garamond"/>
                                <w:sz w:val="16"/>
                                <w:szCs w:val="16"/>
                                <w:lang w:val="en-US"/>
                              </w:rPr>
                            </w:r>
                          </w:p>
                        </w:tc>
                      </w:tr>
                    </w:tbl>
                  </w:txbxContent>
                </v:textbox>
                <w10:wrap type="square"/>
              </v:rect>
            </w:pict>
          </mc:Fallback>
        </mc:AlternateConten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Однако, как отмечает Л. Россилс самым распространенным видом можно считать Аджнавиниварта Ганапати (или Рагаваджра), изображающее Ганешу в форме орального совокупления с богиней, воплощавшей </w:t>
      </w:r>
      <w:r>
        <w:rPr>
          <w:rFonts w:eastAsia="MingLiU;細明體" w:cs="Garamond" w:ascii="Garamond" w:hAnsi="Garamond"/>
          <w:i/>
          <w:sz w:val="24"/>
          <w:szCs w:val="24"/>
        </w:rPr>
        <w:t xml:space="preserve">праджню </w:t>
      </w:r>
      <w:r>
        <w:rPr>
          <w:rFonts w:eastAsia="MingLiU;細明體" w:cs="Garamond" w:ascii="Garamond" w:hAnsi="Garamond"/>
          <w:sz w:val="24"/>
          <w:szCs w:val="24"/>
        </w:rPr>
        <w:t>(буддийскую концепцию универсальной мудрости), в форме обезьяны или существа с кошачьей головой и телом женщины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15–17].</w:t>
      </w:r>
    </w:p>
    <w:p>
      <w:pPr>
        <w:pStyle w:val="Normal"/>
        <w:ind w:end="-31" w:firstLine="720"/>
        <w:jc w:val="both"/>
        <w:rPr/>
      </w:pPr>
      <w:r>
        <w:rPr>
          <w:rFonts w:eastAsia="MingLiU;細明體" w:cs="Garamond" w:ascii="Garamond" w:hAnsi="Garamond"/>
          <w:sz w:val="24"/>
          <w:szCs w:val="24"/>
        </w:rPr>
        <w:t>Подобная типология эротического изображения Ганеши, наряду с другими формами, наблюдавшимися в искусстве Индии и Непала, была подробно проанализирована Гудрун Бюхнеманн в статье “</w:t>
      </w:r>
      <w:r>
        <w:rPr>
          <w:rFonts w:eastAsia="MingLiU;細明體" w:cs="Garamond" w:ascii="Garamond" w:hAnsi="Garamond"/>
          <w:sz w:val="24"/>
          <w:szCs w:val="24"/>
          <w:lang w:val="en-US"/>
        </w:rPr>
        <w:t>Erotic</w:t>
      </w:r>
      <w:r>
        <w:rPr>
          <w:rFonts w:eastAsia="MingLiU;細明體" w:cs="Garamond" w:ascii="Garamond" w:hAnsi="Garamond"/>
          <w:sz w:val="24"/>
          <w:szCs w:val="24"/>
        </w:rPr>
        <w:t xml:space="preserve"> </w:t>
      </w:r>
      <w:r>
        <w:rPr>
          <w:rFonts w:eastAsia="MingLiU;細明體" w:cs="Garamond" w:ascii="Garamond" w:hAnsi="Garamond"/>
          <w:sz w:val="24"/>
          <w:szCs w:val="24"/>
          <w:lang w:val="en-US"/>
        </w:rPr>
        <w:t>Forms</w:t>
      </w:r>
      <w:r>
        <w:rPr>
          <w:rFonts w:eastAsia="MingLiU;細明體" w:cs="Garamond" w:ascii="Garamond" w:hAnsi="Garamond"/>
          <w:sz w:val="24"/>
          <w:szCs w:val="24"/>
        </w:rPr>
        <w:t xml:space="preserve"> </w:t>
      </w:r>
      <w:r>
        <w:rPr>
          <w:rFonts w:eastAsia="MingLiU;細明體" w:cs="Garamond" w:ascii="Garamond" w:hAnsi="Garamond"/>
          <w:sz w:val="24"/>
          <w:szCs w:val="24"/>
          <w:lang w:val="en-US"/>
        </w:rPr>
        <w:t>of</w:t>
      </w:r>
      <w:r>
        <w:rPr>
          <w:rFonts w:eastAsia="MingLiU;細明體" w:cs="Garamond" w:ascii="Garamond" w:hAnsi="Garamond"/>
          <w:sz w:val="24"/>
          <w:szCs w:val="24"/>
        </w:rPr>
        <w:t xml:space="preserve"> </w:t>
      </w:r>
      <w:r>
        <w:rPr>
          <w:rFonts w:eastAsia="MingLiU;細明體" w:cs="Garamond" w:ascii="Garamond" w:hAnsi="Garamond"/>
          <w:sz w:val="24"/>
          <w:szCs w:val="24"/>
          <w:lang w:val="en-US"/>
        </w:rPr>
        <w:t>Ganesa</w:t>
      </w:r>
      <w:r>
        <w:rPr>
          <w:rFonts w:eastAsia="MingLiU;細明體" w:cs="Garamond" w:ascii="Garamond" w:hAnsi="Garamond"/>
          <w:sz w:val="24"/>
          <w:szCs w:val="24"/>
        </w:rPr>
        <w:t xml:space="preserve"> </w:t>
      </w:r>
      <w:r>
        <w:rPr>
          <w:rFonts w:eastAsia="MingLiU;細明體" w:cs="Garamond" w:ascii="Garamond" w:hAnsi="Garamond"/>
          <w:sz w:val="24"/>
          <w:szCs w:val="24"/>
          <w:lang w:val="en-US"/>
        </w:rPr>
        <w:t>in</w:t>
      </w:r>
      <w:r>
        <w:rPr>
          <w:rFonts w:eastAsia="MingLiU;細明體" w:cs="Garamond" w:ascii="Garamond" w:hAnsi="Garamond"/>
          <w:sz w:val="24"/>
          <w:szCs w:val="24"/>
        </w:rPr>
        <w:t xml:space="preserve"> </w:t>
      </w:r>
      <w:r>
        <w:rPr>
          <w:rFonts w:eastAsia="MingLiU;細明體" w:cs="Garamond" w:ascii="Garamond" w:hAnsi="Garamond"/>
          <w:sz w:val="24"/>
          <w:szCs w:val="24"/>
          <w:lang w:val="en-US"/>
        </w:rPr>
        <w:t>Hindu</w:t>
      </w:r>
      <w:r>
        <w:rPr>
          <w:rFonts w:eastAsia="MingLiU;細明體" w:cs="Garamond" w:ascii="Garamond" w:hAnsi="Garamond"/>
          <w:sz w:val="24"/>
          <w:szCs w:val="24"/>
        </w:rPr>
        <w:t xml:space="preserve"> </w:t>
      </w:r>
      <w:r>
        <w:rPr>
          <w:rFonts w:eastAsia="MingLiU;細明體" w:cs="Garamond" w:ascii="Garamond" w:hAnsi="Garamond"/>
          <w:sz w:val="24"/>
          <w:szCs w:val="24"/>
          <w:lang w:val="en-US"/>
        </w:rPr>
        <w:t>and</w:t>
      </w:r>
      <w:r>
        <w:rPr>
          <w:rFonts w:eastAsia="MingLiU;細明體" w:cs="Garamond" w:ascii="Garamond" w:hAnsi="Garamond"/>
          <w:sz w:val="24"/>
          <w:szCs w:val="24"/>
        </w:rPr>
        <w:t xml:space="preserve"> </w:t>
      </w:r>
      <w:r>
        <w:rPr>
          <w:rFonts w:eastAsia="MingLiU;細明體" w:cs="Garamond" w:ascii="Garamond" w:hAnsi="Garamond"/>
          <w:sz w:val="24"/>
          <w:szCs w:val="24"/>
          <w:lang w:val="en-US"/>
        </w:rPr>
        <w:t>Buddhist</w:t>
      </w:r>
      <w:r>
        <w:rPr>
          <w:rFonts w:eastAsia="MingLiU;細明體" w:cs="Garamond" w:ascii="Garamond" w:hAnsi="Garamond"/>
          <w:sz w:val="24"/>
          <w:szCs w:val="24"/>
        </w:rPr>
        <w:t xml:space="preserve"> </w:t>
      </w:r>
      <w:r>
        <w:rPr>
          <w:rFonts w:eastAsia="MingLiU;細明體" w:cs="Garamond" w:ascii="Garamond" w:hAnsi="Garamond"/>
          <w:sz w:val="24"/>
          <w:szCs w:val="24"/>
          <w:lang w:val="en-US"/>
        </w:rPr>
        <w:t>Iconography</w:t>
      </w:r>
      <w:r>
        <w:rPr>
          <w:rFonts w:eastAsia="MingLiU;細明體" w:cs="Garamond" w:ascii="Garamond" w:hAnsi="Garamond"/>
          <w:sz w:val="24"/>
          <w:szCs w:val="24"/>
        </w:rPr>
        <w:t>”. Самые ранние упоминания такого рода изображений, отмечает она, встречаются в двух тибетских тестах-</w:t>
      </w:r>
      <w:r>
        <w:rPr>
          <w:rFonts w:eastAsia="MingLiU;細明體" w:cs="Garamond" w:ascii="Garamond" w:hAnsi="Garamond"/>
          <w:i/>
          <w:sz w:val="24"/>
          <w:szCs w:val="24"/>
        </w:rPr>
        <w:t>садханах</w:t>
      </w:r>
      <w:r>
        <w:rPr>
          <w:rFonts w:eastAsia="MingLiU;細明體" w:cs="Garamond" w:ascii="Garamond" w:hAnsi="Garamond"/>
          <w:sz w:val="24"/>
          <w:szCs w:val="24"/>
        </w:rPr>
        <w:t xml:space="preserve">, составленных в </w:t>
      </w:r>
      <w:r>
        <w:rPr>
          <w:rFonts w:eastAsia="MingLiU;細明體" w:cs="Garamond" w:ascii="Garamond" w:hAnsi="Garamond"/>
          <w:sz w:val="24"/>
          <w:szCs w:val="24"/>
          <w:lang w:val="en-US"/>
        </w:rPr>
        <w:t>XI</w:t>
      </w:r>
      <w:r>
        <w:rPr>
          <w:rFonts w:eastAsia="MingLiU;細明體" w:cs="Garamond" w:ascii="Garamond" w:hAnsi="Garamond"/>
          <w:sz w:val="24"/>
          <w:szCs w:val="24"/>
        </w:rPr>
        <w:t> в. и являющихся переводами утраченных санскритских текстов [Bühnemann, 2006, р. 16].</w:t>
      </w:r>
    </w:p>
    <w:p>
      <w:pPr>
        <w:pStyle w:val="Normal"/>
        <w:ind w:end="-31" w:firstLine="720"/>
        <w:jc w:val="both"/>
        <w:rPr/>
      </w:pPr>
      <w:r>
        <w:rPr>
          <w:rFonts w:eastAsia="MingLiU;細明體" w:cs="Garamond" w:ascii="Garamond" w:hAnsi="Garamond"/>
          <w:sz w:val="24"/>
          <w:szCs w:val="24"/>
        </w:rPr>
        <w:t>Первый текст — Шри-аджнавинивартаганапатисадхана», написанный Индрабодхи и переведенный на тибетский знаменитым переводчиком и составителем текстов Дипамкарашриджняной (Атиша). Второй — «Арьяганапатирагаваджрасамаястотра», был составлен вышеупомянутым Дипамкарашриджняной. Описания божества Аджнавиниварта Ганапати встречаются и в более поздних тибетских текстах — «Рин бьюн бргья рцза» (</w:t>
      </w:r>
      <w:r>
        <w:rPr>
          <w:rFonts w:eastAsia="MingLiU;細明體" w:cs="Garamond" w:ascii="Garamond" w:hAnsi="Garamond"/>
          <w:sz w:val="24"/>
          <w:szCs w:val="24"/>
          <w:lang w:val="en-US"/>
        </w:rPr>
        <w:t>XVII</w:t>
      </w:r>
      <w:r>
        <w:rPr>
          <w:rFonts w:eastAsia="MingLiU;細明體" w:cs="Garamond" w:ascii="Garamond" w:hAnsi="Garamond"/>
          <w:sz w:val="24"/>
          <w:szCs w:val="24"/>
        </w:rPr>
        <w:t> в.), «Рин-лхан» (</w:t>
      </w:r>
      <w:r>
        <w:rPr>
          <w:rFonts w:eastAsia="MingLiU;細明體" w:cs="Garamond" w:ascii="Garamond" w:hAnsi="Garamond"/>
          <w:sz w:val="24"/>
          <w:szCs w:val="24"/>
          <w:lang w:val="en-US"/>
        </w:rPr>
        <w:t>XVIII</w:t>
      </w:r>
      <w:r>
        <w:rPr>
          <w:rFonts w:eastAsia="MingLiU;細明體" w:cs="Garamond" w:ascii="Garamond" w:hAnsi="Garamond"/>
          <w:sz w:val="24"/>
          <w:szCs w:val="24"/>
        </w:rPr>
        <w:t> в.) и иллюстрированном трактате «Брис ску мтон ба дон лдан» (</w:t>
      </w:r>
      <w:r>
        <w:rPr>
          <w:rFonts w:eastAsia="MingLiU;細明體" w:cs="Garamond" w:ascii="Garamond" w:hAnsi="Garamond"/>
          <w:sz w:val="24"/>
          <w:szCs w:val="24"/>
          <w:lang w:val="en-US"/>
        </w:rPr>
        <w:t>XIX</w:t>
      </w:r>
      <w:r>
        <w:rPr>
          <w:rFonts w:eastAsia="MingLiU;細明體" w:cs="Garamond" w:ascii="Garamond" w:hAnsi="Garamond"/>
          <w:sz w:val="24"/>
          <w:szCs w:val="24"/>
        </w:rPr>
        <w:t> в.) [Bühnemann, 2006, р. 17–18].</w:t>
      </w:r>
    </w:p>
    <w:p>
      <w:pPr>
        <w:pStyle w:val="Normal"/>
        <w:ind w:end="-31" w:firstLine="720"/>
        <w:jc w:val="both"/>
        <w:rPr/>
      </w:pPr>
      <w:r>
        <w:rPr>
          <w:rFonts w:eastAsia="MingLiU;細明體" w:cs="Garamond" w:ascii="Garamond" w:hAnsi="Garamond"/>
          <w:sz w:val="24"/>
          <w:szCs w:val="24"/>
        </w:rPr>
        <w:t xml:space="preserve">Согласно текстам </w:t>
      </w:r>
      <w:r>
        <w:rPr>
          <w:rFonts w:eastAsia="MingLiU;細明體" w:cs="Garamond" w:ascii="Garamond" w:hAnsi="Garamond"/>
          <w:i/>
          <w:sz w:val="24"/>
          <w:szCs w:val="24"/>
        </w:rPr>
        <w:t>садхан</w:t>
      </w:r>
      <w:r>
        <w:rPr>
          <w:rFonts w:eastAsia="MingLiU;細明體" w:cs="Garamond" w:ascii="Garamond" w:hAnsi="Garamond"/>
          <w:sz w:val="24"/>
          <w:szCs w:val="24"/>
        </w:rPr>
        <w:t xml:space="preserve">, божество Аджнавиниварта Ганапати имеет следующий вид. У него три головы — слона, кошки и обезьяны. В шести руках он держит следующие атрибуты: редис, сладости </w:t>
      </w:r>
      <w:r>
        <w:rPr>
          <w:rFonts w:eastAsia="MingLiU;細明體" w:cs="Garamond" w:ascii="Garamond" w:hAnsi="Garamond"/>
          <w:i/>
          <w:sz w:val="24"/>
          <w:szCs w:val="24"/>
        </w:rPr>
        <w:t>ладду</w:t>
      </w:r>
      <w:r>
        <w:rPr>
          <w:rFonts w:eastAsia="MingLiU;細明體" w:cs="Garamond" w:ascii="Garamond" w:hAnsi="Garamond"/>
          <w:sz w:val="24"/>
          <w:szCs w:val="24"/>
        </w:rPr>
        <w:t xml:space="preserve"> в форме шарика, чашу из черепа, наполненную вином, драгоценность, топор и меч. У него четыре ноги, две из которых расставлены, а две другие скрещены. Поддерживает его богиня с головой обезьяны, совершающая с ним акт орального совокупления (</w:t>
      </w:r>
      <w:r>
        <w:rPr>
          <w:rFonts w:eastAsia="MingLiU;細明體" w:cs="Garamond" w:ascii="Garamond" w:hAnsi="Garamond"/>
          <w:i/>
          <w:sz w:val="24"/>
          <w:szCs w:val="24"/>
        </w:rPr>
        <w:t>илл. 3</w:t>
      </w:r>
      <w:r>
        <w:rPr>
          <w:rFonts w:eastAsia="MingLiU;細明體" w:cs="Garamond" w:ascii="Garamond" w:hAnsi="Garamond"/>
          <w:sz w:val="24"/>
          <w:szCs w:val="24"/>
        </w:rPr>
        <w:t>).</w:t>
      </w:r>
    </w:p>
    <w:p>
      <w:pPr>
        <w:pStyle w:val="Normal"/>
        <w:ind w:end="-31" w:firstLine="720"/>
        <w:jc w:val="both"/>
        <w:rPr>
          <w:rFonts w:ascii="Garamond" w:hAnsi="Garamond" w:eastAsia="MingLiU;細明體" w:cs="Garamond"/>
          <w:sz w:val="24"/>
          <w:szCs w:val="24"/>
          <w:lang w:val="en-US"/>
        </w:rPr>
      </w:pPr>
      <w:r>
        <w:rPr>
          <w:rFonts w:eastAsia="MingLiU;細明體" w:cs="Garamond" w:ascii="Garamond" w:hAnsi="Garamond"/>
          <w:sz w:val="24"/>
          <w:szCs w:val="24"/>
        </w:rPr>
        <w:t xml:space="preserve">Как отмечает Г. Бюхнеманн, среди других изображений такого рода следует отметить тибетскую танку </w:t>
      </w:r>
      <w:r>
        <w:rPr>
          <w:rFonts w:eastAsia="MingLiU;細明體" w:cs="Garamond" w:ascii="Garamond" w:hAnsi="Garamond"/>
          <w:sz w:val="24"/>
          <w:szCs w:val="24"/>
          <w:lang w:val="en-US"/>
        </w:rPr>
        <w:t>XIX</w:t>
      </w:r>
      <w:r>
        <w:rPr>
          <w:rFonts w:eastAsia="MingLiU;細明體" w:cs="Garamond" w:ascii="Garamond" w:hAnsi="Garamond"/>
          <w:sz w:val="24"/>
          <w:szCs w:val="24"/>
        </w:rPr>
        <w:t> в. школы Ньингма, содержащую другие нюансы в иконографии Ганеши. Здесь у него только одна голова (слона), две ноги и четыре руки, т. е. по стилю он ближе к индийским изображениям, держит в руках блюдо со сладостями, стрекало для слона, редис и четки. Его ноги поддерживает богиня с кошачьей головой, совершающая акт орального совокупления. Ее менструальную кровь собирают в сосуд из черепа две коленопреклоненные прислужницы [Bühnemann, 2006, р. 18–19].</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Среди различных образов Ганеши в тибетской иконографии следует отметить следующую необычную танку, входящую в состав коллекции № 794 фондов Зарубежной Азии МАЭ (Кунсткамера) РАН и описанную Д. В. Ивановым в статье «Редкое изображение Ганеши в буддийских коллекциях Кунсткамеры» [Иванов, 2009]. На ней изображен Ганеша с тремя головами, шестью руками, четырьмя ногами и телом белого цвета. Его центральная голова представляет голову слона, правая голова — голову крысы, сжимающей в зубах драгоценность, а левая голова является головой обезьяны. Крыса в индуизме и буддизме является спутником (</w:t>
      </w:r>
      <w:r>
        <w:rPr>
          <w:rFonts w:eastAsia="MingLiU;細明體" w:cs="Garamond" w:ascii="Garamond" w:hAnsi="Garamond"/>
          <w:i/>
          <w:sz w:val="24"/>
          <w:szCs w:val="24"/>
        </w:rPr>
        <w:t>вахана</w:t>
      </w:r>
      <w:r>
        <w:rPr>
          <w:rFonts w:eastAsia="MingLiU;細明體" w:cs="Garamond" w:ascii="Garamond" w:hAnsi="Garamond"/>
          <w:sz w:val="24"/>
          <w:szCs w:val="24"/>
        </w:rPr>
        <w:t xml:space="preserve">) Ганеши. Драгоценность, которую крыса держит во рту, символизирует одну из основных функций Ганеши как божества богатства. Что касается обезьяны, то в данном случае Д. В. Иванов трактует ее как воплощение </w:t>
      </w:r>
      <w:r>
        <w:rPr>
          <w:rFonts w:eastAsia="MingLiU;細明體" w:cs="Garamond" w:ascii="Garamond" w:hAnsi="Garamond"/>
          <w:i/>
          <w:sz w:val="24"/>
          <w:szCs w:val="24"/>
        </w:rPr>
        <w:t>праджни</w:t>
      </w:r>
      <w:r>
        <w:rPr>
          <w:rFonts w:eastAsia="MingLiU;細明體" w:cs="Garamond" w:ascii="Garamond" w:hAnsi="Garamond"/>
          <w:sz w:val="24"/>
          <w:szCs w:val="24"/>
        </w:rPr>
        <w:t xml:space="preserve"> Ганеши. Внизу картины изображена еще одна обезьяна, с которой Ганеша показан в состоянии орального совокупления. При этом, как говорится в описании картины, из заднего прохода (?) обезьяны выходят разноцветные драгоценные камни, падающие в стоящий внизу сосуд. Обезьяну поддерживают с двух сторон две другие обезьянки меньшего размера, а в левом нижнем углу картины можно увидеть еще четыре сосуда, наполненных драгоценностями [Иванов, 2009, с. 99–98].</w:t>
      </w:r>
      <w:r>
        <mc:AlternateContent>
          <mc:Choice Requires="wps">
            <w:drawing>
              <wp:anchor behindDoc="0" distT="0" distB="0" distL="114300" distR="0" simplePos="0" locked="0" layoutInCell="1" allowOverlap="1" relativeHeight="6">
                <wp:simplePos x="0" y="0"/>
                <wp:positionH relativeFrom="margin">
                  <wp:align>right</wp:align>
                </wp:positionH>
                <wp:positionV relativeFrom="paragraph">
                  <wp:posOffset>20320</wp:posOffset>
                </wp:positionV>
                <wp:extent cx="3999230" cy="6065520"/>
                <wp:effectExtent l="0" t="0" r="0" b="0"/>
                <wp:wrapSquare wrapText="bothSides"/>
                <wp:docPr id="8" name="Врезка3"/>
                <a:graphic xmlns:a="http://schemas.openxmlformats.org/drawingml/2006/main">
                  <a:graphicData uri="http://schemas.microsoft.com/office/word/2010/wordprocessingShape">
                    <wps:wsp>
                      <wps:cNvSpPr txBox="1"/>
                      <wps:spPr>
                        <a:xfrm>
                          <a:off x="0" y="0"/>
                          <a:ext cx="3999230" cy="6065520"/>
                        </a:xfrm>
                        <a:prstGeom prst="rect"/>
                        <a:solidFill>
                          <a:srgbClr val="FFFFFF">
                            <a:alpha val="0"/>
                          </a:srgbClr>
                        </a:solidFill>
                      </wps:spPr>
                      <wps:txbx>
                        <w:txbxContent>
                          <w:tbl>
                            <w:tblPr>
                              <w:tblW w:w="6298" w:type="dxa"/>
                              <w:jc w:val="start"/>
                              <w:tblInd w:w="0" w:type="dxa"/>
                              <w:tblBorders/>
                              <w:tblCellMar>
                                <w:top w:w="0" w:type="dxa"/>
                                <w:start w:w="108" w:type="dxa"/>
                                <w:bottom w:w="0" w:type="dxa"/>
                                <w:end w:w="108" w:type="dxa"/>
                              </w:tblCellMar>
                            </w:tblPr>
                            <w:tblGrid>
                              <w:gridCol w:w="6298"/>
                            </w:tblGrid>
                            <w:tr>
                              <w:trPr/>
                              <w:tc>
                                <w:tcPr>
                                  <w:tcW w:w="6298" w:type="dxa"/>
                                  <w:tcBorders/>
                                  <w:shd w:fill="auto" w:val="clear"/>
                                </w:tcPr>
                                <w:p>
                                  <w:pPr>
                                    <w:pStyle w:val="Normal"/>
                                    <w:ind w:end="-31" w:hanging="0"/>
                                    <w:jc w:val="both"/>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3881120" cy="5106035"/>
                                        <wp:effectExtent l="0" t="0" r="0" b="0"/>
                                        <wp:docPr id="9"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descr="" title=""/>
                                                <pic:cNvPicPr>
                                                  <a:picLocks noChangeAspect="1" noChangeArrowheads="1"/>
                                                </pic:cNvPicPr>
                                              </pic:nvPicPr>
                                              <pic:blipFill>
                                                <a:blip r:embed="rId9"/>
                                                <a:srcRect l="-4" t="-3" r="-4" b="-3"/>
                                                <a:stretch>
                                                  <a:fillRect/>
                                                </a:stretch>
                                              </pic:blipFill>
                                              <pic:spPr bwMode="auto">
                                                <a:xfrm>
                                                  <a:off x="0" y="0"/>
                                                  <a:ext cx="3881120" cy="510603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sz w:val="22"/>
                                      <w:szCs w:val="22"/>
                                    </w:rPr>
                                    <w:t>Илл.</w:t>
                                  </w:r>
                                  <w:r>
                                    <w:rPr>
                                      <w:rFonts w:eastAsia="MingLiU;細明體" w:cs="Garamond" w:ascii="Garamond" w:hAnsi="Garamond"/>
                                      <w:i/>
                                      <w:sz w:val="22"/>
                                      <w:szCs w:val="22"/>
                                      <w:lang w:val="en-US"/>
                                    </w:rPr>
                                    <w:t> </w:t>
                                  </w:r>
                                  <w:r>
                                    <w:rPr>
                                      <w:rFonts w:eastAsia="MingLiU;細明體" w:cs="Garamond" w:ascii="Garamond" w:hAnsi="Garamond"/>
                                      <w:i/>
                                      <w:sz w:val="22"/>
                                      <w:szCs w:val="22"/>
                                    </w:rPr>
                                    <w:t>3</w:t>
                                  </w:r>
                                  <w:r>
                                    <w:rPr>
                                      <w:rFonts w:eastAsia="MingLiU;細明體" w:cs="Garamond" w:ascii="Garamond" w:hAnsi="Garamond"/>
                                      <w:sz w:val="22"/>
                                      <w:szCs w:val="22"/>
                                    </w:rPr>
                                    <w:t xml:space="preserve">. Красный четырехрукий Ганапати, Тибет, </w:t>
                                  </w:r>
                                  <w:r>
                                    <w:rPr>
                                      <w:rFonts w:eastAsia="MingLiU;細明體" w:cs="Garamond" w:ascii="Garamond" w:hAnsi="Garamond"/>
                                      <w:sz w:val="22"/>
                                      <w:szCs w:val="22"/>
                                      <w:lang w:val="en-US"/>
                                    </w:rPr>
                                    <w:t>XIX </w:t>
                                  </w:r>
                                  <w:r>
                                    <w:rPr>
                                      <w:rFonts w:eastAsia="MingLiU;細明體" w:cs="Garamond" w:ascii="Garamond" w:hAnsi="Garamond"/>
                                      <w:sz w:val="22"/>
                                      <w:szCs w:val="22"/>
                                    </w:rPr>
                                    <w:t xml:space="preserve"> в.</w:t>
                                  </w:r>
                                </w:p>
                                <w:p>
                                  <w:pPr>
                                    <w:pStyle w:val="Normal"/>
                                    <w:ind w:end="-31" w:hanging="0"/>
                                    <w:jc w:val="center"/>
                                    <w:rPr>
                                      <w:rStyle w:val="Style15"/>
                                      <w:rFonts w:ascii="Garamond" w:hAnsi="Garamond" w:eastAsia="MingLiU;細明體" w:cs="Garamond"/>
                                      <w:color w:val="000000"/>
                                      <w:sz w:val="22"/>
                                      <w:szCs w:val="22"/>
                                      <w:u w:val="none"/>
                                      <w:lang w:val="en-US"/>
                                    </w:rPr>
                                  </w:pPr>
                                  <w:r>
                                    <w:rPr>
                                      <w:rFonts w:eastAsia="MingLiU;細明體" w:cs="Garamond" w:ascii="Garamond" w:hAnsi="Garamond"/>
                                      <w:sz w:val="22"/>
                                      <w:szCs w:val="22"/>
                                      <w:lang w:val="en-US"/>
                                    </w:rPr>
                                    <w:t xml:space="preserve">(© Rubin Museum of Art, New York; </w:t>
                                  </w:r>
                                  <w:r>
                                    <w:rPr>
                                      <w:rFonts w:eastAsia="MingLiU;細明體" w:cs="Garamond" w:ascii="Garamond" w:hAnsi="Garamond"/>
                                      <w:sz w:val="22"/>
                                      <w:szCs w:val="22"/>
                                    </w:rPr>
                                    <w:t>по</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Hymalayan Art Resources</w:t>
                                  </w:r>
                                  <w:r>
                                    <w:rPr>
                                      <w:rFonts w:eastAsia="MingLiU;細明體" w:cs="Garamond" w:ascii="Garamond" w:hAnsi="Garamond"/>
                                      <w:sz w:val="22"/>
                                      <w:szCs w:val="22"/>
                                      <w:lang w:val="en-US"/>
                                    </w:rPr>
                                    <w:t>. URL</w:t>
                                  </w:r>
                                  <w:r>
                                    <w:rPr>
                                      <w:rFonts w:eastAsia="MingLiU;細明體" w:cs="Garamond" w:ascii="Garamond" w:hAnsi="Garamond"/>
                                      <w:sz w:val="22"/>
                                      <w:szCs w:val="22"/>
                                    </w:rPr>
                                    <w:t xml:space="preserve">: </w:t>
                                  </w:r>
                                  <w:hyperlink r:id="rId10">
                                    <w:r>
                                      <w:rPr>
                                        <w:rStyle w:val="Style15"/>
                                        <w:rFonts w:eastAsia="MingLiU;細明體" w:cs="Garamond" w:ascii="Garamond" w:hAnsi="Garamond"/>
                                        <w:color w:val="000000"/>
                                        <w:sz w:val="22"/>
                                        <w:szCs w:val="22"/>
                                        <w:u w:val="none"/>
                                        <w:lang w:val="en-US"/>
                                      </w:rPr>
                                      <w:t>https</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www</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himalayanart</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org</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items</w:t>
                                    </w:r>
                                    <w:r>
                                      <w:rPr>
                                        <w:rStyle w:val="Style15"/>
                                        <w:rFonts w:eastAsia="MingLiU;細明體" w:cs="Garamond" w:ascii="Garamond" w:hAnsi="Garamond"/>
                                        <w:color w:val="000000"/>
                                        <w:sz w:val="22"/>
                                        <w:szCs w:val="22"/>
                                        <w:u w:val="none"/>
                                      </w:rPr>
                                      <w:t>/207</w:t>
                                    </w:r>
                                  </w:hyperlink>
                                  <w:r>
                                    <w:rPr>
                                      <w:rStyle w:val="Style15"/>
                                      <w:rFonts w:eastAsia="MingLiU;細明體" w:cs="Garamond" w:ascii="Garamond" w:hAnsi="Garamond"/>
                                      <w:color w:val="000000"/>
                                      <w:sz w:val="22"/>
                                      <w:szCs w:val="22"/>
                                      <w:u w:val="none"/>
                                    </w:rPr>
                                    <w:t>)</w:t>
                                  </w:r>
                                </w:p>
                                <w:p>
                                  <w:pPr>
                                    <w:pStyle w:val="Normal"/>
                                    <w:ind w:end="-31" w:hanging="0"/>
                                    <w:jc w:val="center"/>
                                    <w:rPr>
                                      <w:rStyle w:val="Style15"/>
                                      <w:rFonts w:ascii="Garamond" w:hAnsi="Garamond" w:eastAsia="MingLiU;細明體" w:cs="Garamond"/>
                                      <w:color w:val="000000"/>
                                      <w:sz w:val="8"/>
                                      <w:szCs w:val="8"/>
                                      <w:u w:val="none"/>
                                      <w:lang w:val="en-US"/>
                                    </w:rPr>
                                  </w:pPr>
                                  <w:r>
                                    <w:rPr/>
                                  </w:r>
                                </w:p>
                              </w:tc>
                            </w:tr>
                          </w:tbl>
                        </w:txbxContent>
                      </wps:txbx>
                      <wps:bodyPr anchor="t" lIns="0" tIns="0" rIns="0" bIns="0">
                        <a:noAutofit/>
                      </wps:bodyPr>
                    </wps:wsp>
                  </a:graphicData>
                </a:graphic>
              </wp:anchor>
            </w:drawing>
          </mc:Choice>
          <mc:Fallback>
            <w:pict>
              <v:rect fillcolor="#FFFFFF" style="position:absolute;rotation:0;width:314.9pt;height:477.6pt;mso-wrap-distance-left:9pt;mso-wrap-distance-right:0pt;mso-wrap-distance-top:0pt;mso-wrap-distance-bottom:0pt;margin-top:1.6pt;mso-position-vertical-relative:text;margin-left:124.55pt;mso-position-horizontal:right;mso-position-horizontal-relative:margin">
                <v:fill opacity="0f"/>
                <v:textbox>
                  <w:txbxContent>
                    <w:tbl>
                      <w:tblPr>
                        <w:tblW w:w="6298" w:type="dxa"/>
                        <w:jc w:val="start"/>
                        <w:tblInd w:w="0" w:type="dxa"/>
                        <w:tblBorders/>
                        <w:tblCellMar>
                          <w:top w:w="0" w:type="dxa"/>
                          <w:start w:w="108" w:type="dxa"/>
                          <w:bottom w:w="0" w:type="dxa"/>
                          <w:end w:w="108" w:type="dxa"/>
                        </w:tblCellMar>
                      </w:tblPr>
                      <w:tblGrid>
                        <w:gridCol w:w="6298"/>
                      </w:tblGrid>
                      <w:tr>
                        <w:trPr/>
                        <w:tc>
                          <w:tcPr>
                            <w:tcW w:w="6298" w:type="dxa"/>
                            <w:tcBorders/>
                            <w:shd w:fill="auto" w:val="clear"/>
                          </w:tcPr>
                          <w:p>
                            <w:pPr>
                              <w:pStyle w:val="Normal"/>
                              <w:ind w:end="-31" w:hanging="0"/>
                              <w:jc w:val="both"/>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3881120" cy="5106035"/>
                                  <wp:effectExtent l="0" t="0" r="0" b="0"/>
                                  <wp:docPr id="10"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descr="" title=""/>
                                          <pic:cNvPicPr>
                                            <a:picLocks noChangeAspect="1" noChangeArrowheads="1"/>
                                          </pic:cNvPicPr>
                                        </pic:nvPicPr>
                                        <pic:blipFill>
                                          <a:blip r:embed="rId9"/>
                                          <a:srcRect l="-4" t="-3" r="-4" b="-3"/>
                                          <a:stretch>
                                            <a:fillRect/>
                                          </a:stretch>
                                        </pic:blipFill>
                                        <pic:spPr bwMode="auto">
                                          <a:xfrm>
                                            <a:off x="0" y="0"/>
                                            <a:ext cx="3881120" cy="510603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sz w:val="22"/>
                                <w:szCs w:val="22"/>
                              </w:rPr>
                              <w:t>Илл.</w:t>
                            </w:r>
                            <w:r>
                              <w:rPr>
                                <w:rFonts w:eastAsia="MingLiU;細明體" w:cs="Garamond" w:ascii="Garamond" w:hAnsi="Garamond"/>
                                <w:i/>
                                <w:sz w:val="22"/>
                                <w:szCs w:val="22"/>
                                <w:lang w:val="en-US"/>
                              </w:rPr>
                              <w:t> </w:t>
                            </w:r>
                            <w:r>
                              <w:rPr>
                                <w:rFonts w:eastAsia="MingLiU;細明體" w:cs="Garamond" w:ascii="Garamond" w:hAnsi="Garamond"/>
                                <w:i/>
                                <w:sz w:val="22"/>
                                <w:szCs w:val="22"/>
                              </w:rPr>
                              <w:t>3</w:t>
                            </w:r>
                            <w:r>
                              <w:rPr>
                                <w:rFonts w:eastAsia="MingLiU;細明體" w:cs="Garamond" w:ascii="Garamond" w:hAnsi="Garamond"/>
                                <w:sz w:val="22"/>
                                <w:szCs w:val="22"/>
                              </w:rPr>
                              <w:t xml:space="preserve">. Красный четырехрукий Ганапати, Тибет, </w:t>
                            </w:r>
                            <w:r>
                              <w:rPr>
                                <w:rFonts w:eastAsia="MingLiU;細明體" w:cs="Garamond" w:ascii="Garamond" w:hAnsi="Garamond"/>
                                <w:sz w:val="22"/>
                                <w:szCs w:val="22"/>
                                <w:lang w:val="en-US"/>
                              </w:rPr>
                              <w:t>XIX </w:t>
                            </w:r>
                            <w:r>
                              <w:rPr>
                                <w:rFonts w:eastAsia="MingLiU;細明體" w:cs="Garamond" w:ascii="Garamond" w:hAnsi="Garamond"/>
                                <w:sz w:val="22"/>
                                <w:szCs w:val="22"/>
                              </w:rPr>
                              <w:t xml:space="preserve"> в.</w:t>
                            </w:r>
                          </w:p>
                          <w:p>
                            <w:pPr>
                              <w:pStyle w:val="Normal"/>
                              <w:ind w:end="-31" w:hanging="0"/>
                              <w:jc w:val="center"/>
                              <w:rPr>
                                <w:rStyle w:val="Style15"/>
                                <w:rFonts w:ascii="Garamond" w:hAnsi="Garamond" w:eastAsia="MingLiU;細明體" w:cs="Garamond"/>
                                <w:color w:val="000000"/>
                                <w:sz w:val="22"/>
                                <w:szCs w:val="22"/>
                                <w:u w:val="none"/>
                                <w:lang w:val="en-US"/>
                              </w:rPr>
                            </w:pPr>
                            <w:r>
                              <w:rPr>
                                <w:rFonts w:eastAsia="MingLiU;細明體" w:cs="Garamond" w:ascii="Garamond" w:hAnsi="Garamond"/>
                                <w:sz w:val="22"/>
                                <w:szCs w:val="22"/>
                                <w:lang w:val="en-US"/>
                              </w:rPr>
                              <w:t xml:space="preserve">(© Rubin Museum of Art, New York; </w:t>
                            </w:r>
                            <w:r>
                              <w:rPr>
                                <w:rFonts w:eastAsia="MingLiU;細明體" w:cs="Garamond" w:ascii="Garamond" w:hAnsi="Garamond"/>
                                <w:sz w:val="22"/>
                                <w:szCs w:val="22"/>
                              </w:rPr>
                              <w:t>по</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Hymalayan Art Resources</w:t>
                            </w:r>
                            <w:r>
                              <w:rPr>
                                <w:rFonts w:eastAsia="MingLiU;細明體" w:cs="Garamond" w:ascii="Garamond" w:hAnsi="Garamond"/>
                                <w:sz w:val="22"/>
                                <w:szCs w:val="22"/>
                                <w:lang w:val="en-US"/>
                              </w:rPr>
                              <w:t>. URL</w:t>
                            </w:r>
                            <w:r>
                              <w:rPr>
                                <w:rFonts w:eastAsia="MingLiU;細明體" w:cs="Garamond" w:ascii="Garamond" w:hAnsi="Garamond"/>
                                <w:sz w:val="22"/>
                                <w:szCs w:val="22"/>
                              </w:rPr>
                              <w:t xml:space="preserve">: </w:t>
                            </w:r>
                            <w:hyperlink r:id="rId11">
                              <w:r>
                                <w:rPr>
                                  <w:rStyle w:val="Style15"/>
                                  <w:rFonts w:eastAsia="MingLiU;細明體" w:cs="Garamond" w:ascii="Garamond" w:hAnsi="Garamond"/>
                                  <w:color w:val="000000"/>
                                  <w:sz w:val="22"/>
                                  <w:szCs w:val="22"/>
                                  <w:u w:val="none"/>
                                  <w:lang w:val="en-US"/>
                                </w:rPr>
                                <w:t>https</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www</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himalayanart</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org</w:t>
                              </w:r>
                              <w:r>
                                <w:rPr>
                                  <w:rStyle w:val="Style15"/>
                                  <w:rFonts w:eastAsia="MingLiU;細明體" w:cs="Garamond" w:ascii="Garamond" w:hAnsi="Garamond"/>
                                  <w:color w:val="000000"/>
                                  <w:sz w:val="22"/>
                                  <w:szCs w:val="22"/>
                                  <w:u w:val="none"/>
                                </w:rPr>
                                <w:t>/</w:t>
                              </w:r>
                              <w:r>
                                <w:rPr>
                                  <w:rStyle w:val="Style15"/>
                                  <w:rFonts w:eastAsia="MingLiU;細明體" w:cs="Garamond" w:ascii="Garamond" w:hAnsi="Garamond"/>
                                  <w:color w:val="000000"/>
                                  <w:sz w:val="22"/>
                                  <w:szCs w:val="22"/>
                                  <w:u w:val="none"/>
                                  <w:lang w:val="en-US"/>
                                </w:rPr>
                                <w:t>items</w:t>
                              </w:r>
                              <w:r>
                                <w:rPr>
                                  <w:rStyle w:val="Style15"/>
                                  <w:rFonts w:eastAsia="MingLiU;細明體" w:cs="Garamond" w:ascii="Garamond" w:hAnsi="Garamond"/>
                                  <w:color w:val="000000"/>
                                  <w:sz w:val="22"/>
                                  <w:szCs w:val="22"/>
                                  <w:u w:val="none"/>
                                </w:rPr>
                                <w:t>/207</w:t>
                              </w:r>
                            </w:hyperlink>
                            <w:r>
                              <w:rPr>
                                <w:rStyle w:val="Style15"/>
                                <w:rFonts w:eastAsia="MingLiU;細明體" w:cs="Garamond" w:ascii="Garamond" w:hAnsi="Garamond"/>
                                <w:color w:val="000000"/>
                                <w:sz w:val="22"/>
                                <w:szCs w:val="22"/>
                                <w:u w:val="none"/>
                              </w:rPr>
                              <w:t>)</w:t>
                            </w:r>
                          </w:p>
                          <w:p>
                            <w:pPr>
                              <w:pStyle w:val="Normal"/>
                              <w:ind w:end="-31" w:hanging="0"/>
                              <w:jc w:val="center"/>
                              <w:rPr>
                                <w:rStyle w:val="Style15"/>
                                <w:rFonts w:ascii="Garamond" w:hAnsi="Garamond" w:eastAsia="MingLiU;細明體" w:cs="Garamond"/>
                                <w:color w:val="000000"/>
                                <w:sz w:val="8"/>
                                <w:szCs w:val="8"/>
                                <w:u w:val="none"/>
                                <w:lang w:val="en-US"/>
                              </w:rPr>
                            </w:pPr>
                            <w:r>
                              <w:rPr/>
                            </w:r>
                          </w:p>
                        </w:tc>
                      </w:tr>
                    </w:tbl>
                  </w:txbxContent>
                </v:textbox>
                <w10:wrap type="square"/>
              </v:rect>
            </w:pict>
          </mc:Fallback>
        </mc:AlternateContent>
      </w:r>
    </w:p>
    <w:p>
      <w:pPr>
        <w:pStyle w:val="Normal"/>
        <w:ind w:end="-31" w:firstLine="720"/>
        <w:jc w:val="both"/>
        <w:rPr/>
      </w:pPr>
      <w:r>
        <w:rPr>
          <w:rFonts w:eastAsia="MingLiU;細明體" w:cs="Garamond" w:ascii="Garamond" w:hAnsi="Garamond"/>
          <w:sz w:val="24"/>
          <w:szCs w:val="24"/>
        </w:rPr>
        <w:t xml:space="preserve">Что касается других атрибутов Ганеши, то в руках перед грудью он держит редис и драгоценность. В правых руках, как указывает Д. В. Иванов, у него драгоценность, исполняющая желания — </w:t>
      </w:r>
      <w:r>
        <w:rPr>
          <w:rFonts w:eastAsia="MingLiU;細明體" w:cs="Garamond" w:ascii="Garamond" w:hAnsi="Garamond"/>
          <w:i/>
          <w:sz w:val="24"/>
          <w:szCs w:val="24"/>
        </w:rPr>
        <w:t xml:space="preserve">чинтамани </w:t>
      </w:r>
      <w:r>
        <w:rPr>
          <w:rFonts w:eastAsia="MingLiU;細明體" w:cs="Garamond" w:ascii="Garamond" w:hAnsi="Garamond"/>
          <w:sz w:val="24"/>
          <w:szCs w:val="24"/>
        </w:rPr>
        <w:t xml:space="preserve">и пылающий меч, рассекающий мрак невежества (этот атрибут может быть связан с функцией Ганеши как божества, устраняющего препятствия к просветлению). В левых руках у него, по мнению Д. В. Иванова, сосуд и скипетр. Однако, по моему мнению, второй атрибут по форме больше напоминает боевой топор, который также можно увидеть на изображениях Ганеши. В описании далее указывается, что он изображен с зеленым шарфом, наброшенным на плечи, и перевязью, перекинутой через левое плечо [Иванов, 2009, с. 99–98]. </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Как указывает автор статьи, судя по стилю и технике грунтовки холста, эта картина скорее всего выполнена китайским художником по тибетскому канону и потому может быть отнесена к сино-тибетскому искусству XIX в. При этом Д. В. Иванов, ссылаясь на П. Бергера, отмечает, что схожие сюжеты можно найти как в тибетской иконографии Ганеши, так и в монгольской. На одной из монгольских танок, описанной П. Бергером, изображен красный двенадцатирукий Ганеша, стоящий на крысе. Рядом с крысой изображены обезьяны, одна из которых вкладывает в рот крысы драгоценность, а другая извлекает драгоценность из заднего прохода крысы. С боковой стороны на лотосовом постаменте изображены еще четыре обезьяны. Главная обезьяна (большая по размеру), держащая в руках драгоценности, изображена в момент орального соития с одной из маленьких обезьянок [Иванов, 2009, с. 99–98].</w:t>
      </w:r>
    </w:p>
    <w:p>
      <w:pPr>
        <w:pStyle w:val="Normal"/>
        <w:ind w:end="-31" w:firstLine="720"/>
        <w:jc w:val="both"/>
        <w:rPr/>
      </w:pPr>
      <w:r>
        <w:rPr>
          <w:rFonts w:eastAsia="MingLiU;細明體" w:cs="Garamond" w:ascii="Garamond" w:hAnsi="Garamond"/>
          <w:sz w:val="24"/>
          <w:szCs w:val="24"/>
        </w:rPr>
        <w:t>Подобного рода изображения, по мнению Г. Бюхнеманн, практически не встречаются в тибетском буддизме. Л. Россилс высказывает предположение о том, что на всех вышеописанных танках Ганеша, как и многие божества тантрического пантеона, представлен во время ритуального союза со своей богиней-</w:t>
      </w:r>
      <w:r>
        <w:rPr>
          <w:rFonts w:eastAsia="MingLiU;細明體" w:cs="Garamond" w:ascii="Garamond" w:hAnsi="Garamond"/>
          <w:i/>
          <w:sz w:val="24"/>
          <w:szCs w:val="24"/>
        </w:rPr>
        <w:t>праджней</w:t>
      </w:r>
      <w:r>
        <w:rPr>
          <w:rFonts w:eastAsia="MingLiU;細明體" w:cs="Garamond" w:ascii="Garamond" w:hAnsi="Garamond"/>
          <w:sz w:val="24"/>
          <w:szCs w:val="24"/>
        </w:rPr>
        <w:t xml:space="preserve"> (тиб. </w:t>
      </w:r>
      <w:r>
        <w:rPr>
          <w:rFonts w:eastAsia="MingLiU;細明體" w:cs="Garamond" w:ascii="Garamond" w:hAnsi="Garamond"/>
          <w:i/>
          <w:sz w:val="24"/>
          <w:szCs w:val="24"/>
        </w:rPr>
        <w:t>Яб юм</w:t>
      </w:r>
      <w:r>
        <w:rPr>
          <w:rFonts w:eastAsia="MingLiU;細明體" w:cs="Garamond" w:ascii="Garamond" w:hAnsi="Garamond"/>
          <w:sz w:val="24"/>
          <w:szCs w:val="24"/>
        </w:rPr>
        <w:t>), а специфическая форма этого соединения (оральное совокупление) обусловлена его зооморфным видом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xml:space="preserve">. 16–17]. Как считает Г. Бюхнеманн, частые изображения этой богини в виде обезьяны связаны с представлением о том, что обезьяны входили в свиту Ганеши [Bühnemann, 2006, р. 18–19]. Наконец, на всех тибетских изображениях Ганапати в качестве его атрибута неизменно присутствует драгоценность или драгоценности, исполняющие желания (санскр. </w:t>
      </w:r>
      <w:r>
        <w:rPr>
          <w:rFonts w:eastAsia="MingLiU;細明體" w:cs="Garamond" w:ascii="Garamond" w:hAnsi="Garamond"/>
          <w:i/>
          <w:sz w:val="24"/>
          <w:szCs w:val="24"/>
        </w:rPr>
        <w:t>чинтамани</w:t>
      </w:r>
      <w:r>
        <w:rPr>
          <w:rFonts w:eastAsia="MingLiU;細明體" w:cs="Garamond" w:ascii="Garamond" w:hAnsi="Garamond"/>
          <w:sz w:val="24"/>
          <w:szCs w:val="24"/>
        </w:rPr>
        <w:t xml:space="preserve">). Это показывает, что в Тибете Ганеша относился к разряду божеств, дарующих богатство и исполняющих желания. Наличие в коллекции музея Кунсткамеры сино-тибетской танки </w:t>
      </w:r>
      <w:r>
        <w:rPr>
          <w:rFonts w:eastAsia="MingLiU;細明體" w:cs="Garamond" w:ascii="Garamond" w:hAnsi="Garamond"/>
          <w:sz w:val="24"/>
          <w:szCs w:val="24"/>
          <w:lang w:val="en-US"/>
        </w:rPr>
        <w:t>XIX</w:t>
      </w:r>
      <w:r>
        <w:rPr>
          <w:rFonts w:eastAsia="MingLiU;細明體" w:cs="Garamond" w:ascii="Garamond" w:hAnsi="Garamond"/>
          <w:sz w:val="24"/>
          <w:szCs w:val="24"/>
        </w:rPr>
        <w:t xml:space="preserve"> в., изображающей Ганешу в стиле </w:t>
      </w:r>
      <w:r>
        <w:rPr>
          <w:rFonts w:eastAsia="MingLiU;細明體" w:cs="Garamond" w:ascii="Garamond" w:hAnsi="Garamond"/>
          <w:i/>
          <w:sz w:val="24"/>
          <w:szCs w:val="24"/>
        </w:rPr>
        <w:t>яб юм</w:t>
      </w:r>
      <w:r>
        <w:rPr>
          <w:rFonts w:eastAsia="MingLiU;細明體" w:cs="Garamond" w:ascii="Garamond" w:hAnsi="Garamond"/>
          <w:sz w:val="24"/>
          <w:szCs w:val="24"/>
        </w:rPr>
        <w:t xml:space="preserve">, показывает, что культ Аджнавиниварта Ганапати был популярен в Тибете вплоть до начала </w:t>
      </w:r>
      <w:r>
        <w:rPr>
          <w:rFonts w:eastAsia="MingLiU;細明體" w:cs="Garamond" w:ascii="Garamond" w:hAnsi="Garamond"/>
          <w:sz w:val="24"/>
          <w:szCs w:val="24"/>
          <w:lang w:val="en-US"/>
        </w:rPr>
        <w:t>XX</w:t>
      </w:r>
      <w:r>
        <w:rPr>
          <w:rFonts w:eastAsia="MingLiU;細明體" w:cs="Garamond" w:ascii="Garamond" w:hAnsi="Garamond"/>
          <w:sz w:val="24"/>
          <w:szCs w:val="24"/>
        </w:rPr>
        <w:t> в.</w:t>
      </w:r>
    </w:p>
    <w:p>
      <w:pPr>
        <w:pStyle w:val="Normal"/>
        <w:ind w:end="-31" w:firstLine="720"/>
        <w:jc w:val="both"/>
        <w:rPr/>
      </w:pPr>
      <w:r>
        <w:rPr>
          <w:rFonts w:eastAsia="MingLiU;細明體" w:cs="Garamond" w:ascii="Garamond" w:hAnsi="Garamond"/>
          <w:sz w:val="24"/>
          <w:szCs w:val="24"/>
        </w:rPr>
        <w:t xml:space="preserve">Что касается других стран, входивших в ареал Ваджраяны, где был известен и почитался Ганеша, то к ним относятся Китай и Япония. В Китае уже в </w:t>
      </w:r>
      <w:r>
        <w:rPr>
          <w:rFonts w:eastAsia="MingLiU;細明體" w:cs="Garamond" w:ascii="Garamond" w:hAnsi="Garamond"/>
          <w:sz w:val="24"/>
          <w:szCs w:val="24"/>
          <w:lang w:val="en-US"/>
        </w:rPr>
        <w:t>V</w:t>
      </w:r>
      <w:r>
        <w:rPr>
          <w:rFonts w:eastAsia="MingLiU;細明體" w:cs="Garamond" w:ascii="Garamond" w:hAnsi="Garamond"/>
          <w:sz w:val="24"/>
          <w:szCs w:val="24"/>
        </w:rPr>
        <w:t>–</w:t>
      </w:r>
      <w:r>
        <w:rPr>
          <w:rFonts w:eastAsia="MingLiU;細明體" w:cs="Garamond" w:ascii="Garamond" w:hAnsi="Garamond"/>
          <w:sz w:val="24"/>
          <w:szCs w:val="24"/>
          <w:lang w:val="en-US"/>
        </w:rPr>
        <w:t>VI</w:t>
      </w:r>
      <w:r>
        <w:rPr>
          <w:rFonts w:eastAsia="MingLiU;細明體" w:cs="Garamond" w:ascii="Garamond" w:hAnsi="Garamond"/>
          <w:sz w:val="24"/>
          <w:szCs w:val="24"/>
        </w:rPr>
        <w:t xml:space="preserve"> вв. в ранних переводах различных буддийских текстов встречаются упоминания о демонических существах со слоновьими головами и телами людей. К одним из самых ранних таких упоминаний относятся тексты монашеской традиции </w:t>
      </w:r>
      <w:r>
        <w:rPr>
          <w:rFonts w:eastAsia="MingLiU;細明體" w:cs="Garamond" w:ascii="Garamond" w:hAnsi="Garamond"/>
          <w:i/>
          <w:sz w:val="24"/>
          <w:szCs w:val="24"/>
        </w:rPr>
        <w:t>Дхармагупта виная</w:t>
      </w:r>
      <w:r>
        <w:rPr>
          <w:rFonts w:eastAsia="MingLiU;細明體" w:cs="Garamond" w:ascii="Garamond" w:hAnsi="Garamond"/>
          <w:sz w:val="24"/>
          <w:szCs w:val="24"/>
        </w:rPr>
        <w:t xml:space="preserve">, переведенные на китайский язык Дхармакшемой в </w:t>
      </w:r>
      <w:r>
        <w:rPr>
          <w:rFonts w:eastAsia="MingLiU;細明體" w:cs="Garamond" w:ascii="Garamond" w:hAnsi="Garamond"/>
          <w:sz w:val="24"/>
          <w:szCs w:val="24"/>
          <w:lang w:val="en-US"/>
        </w:rPr>
        <w:t>V</w:t>
      </w:r>
      <w:r>
        <w:rPr>
          <w:rFonts w:eastAsia="MingLiU;細明體" w:cs="Garamond" w:ascii="Garamond" w:hAnsi="Garamond"/>
          <w:sz w:val="24"/>
          <w:szCs w:val="24"/>
        </w:rPr>
        <w:t xml:space="preserve"> в. Среди прочего, в них говорится о карах, которые постигнут нарушающих заповеди </w:t>
      </w:r>
      <w:r>
        <w:rPr>
          <w:rFonts w:eastAsia="MingLiU;細明體" w:cs="Garamond" w:ascii="Garamond" w:hAnsi="Garamond"/>
          <w:i/>
          <w:sz w:val="24"/>
          <w:szCs w:val="24"/>
        </w:rPr>
        <w:t xml:space="preserve">винаи — </w:t>
      </w:r>
      <w:r>
        <w:rPr>
          <w:rFonts w:eastAsia="MingLiU;細明體" w:cs="Garamond" w:ascii="Garamond" w:hAnsi="Garamond"/>
          <w:sz w:val="24"/>
          <w:szCs w:val="24"/>
        </w:rPr>
        <w:t>они переродятся калеками, лишенными рук и ног; или с несколькими головами; или с головами лошадей и слонов. Парамартха в переводе «Локапраджняптьябхидхарма-сутра» (</w:t>
      </w:r>
      <w:r>
        <w:rPr>
          <w:rFonts w:eastAsia="MingLiU;細明體" w:cs="Garamond" w:ascii="Garamond" w:hAnsi="Garamond"/>
          <w:sz w:val="24"/>
          <w:szCs w:val="24"/>
          <w:lang w:val="en-US"/>
        </w:rPr>
        <w:t>VI</w:t>
      </w:r>
      <w:r>
        <w:rPr>
          <w:rFonts w:eastAsia="MingLiU;細明體" w:cs="Garamond" w:ascii="Garamond" w:hAnsi="Garamond"/>
          <w:sz w:val="24"/>
          <w:szCs w:val="24"/>
        </w:rPr>
        <w:t> в.) упоминает о людях, переродившихся из-за своей кармы в аду в виде существ с телом человека и слоновьей головой. В другом переводе Парамартхи — «Ли ши а пи и тянь лунь» (</w:t>
      </w:r>
      <w:r>
        <w:rPr>
          <w:rFonts w:ascii="Garamond" w:hAnsi="Garamond" w:cs="Garamond" w:eastAsia="MingLiU;細明體"/>
          <w:sz w:val="24"/>
          <w:szCs w:val="24"/>
        </w:rPr>
        <w:t>立世阿毘曇論</w:t>
      </w:r>
      <w:r>
        <w:rPr>
          <w:rFonts w:eastAsia="MingLiU;細明體" w:cs="Garamond" w:ascii="Garamond" w:hAnsi="Garamond"/>
          <w:sz w:val="24"/>
          <w:szCs w:val="24"/>
        </w:rPr>
        <w:t>). («Абхидхарма устоев мироздания»; 558–559) также встречаются описания одного из миров буддийского ада, где обитают существа с головами слонов. Наконец, Данапала в переводе «Махасахасрапрамардама сутра» (983 г.) включает в перечень различных злых духов якшу с головой слона [</w:t>
      </w:r>
      <w:r>
        <w:rPr>
          <w:rFonts w:eastAsia="MingLiU;細明體" w:cs="Garamond" w:ascii="Garamond" w:hAnsi="Garamond"/>
          <w:sz w:val="24"/>
          <w:szCs w:val="24"/>
          <w:lang w:val="en-US"/>
        </w:rPr>
        <w:t>Lancaster</w:t>
      </w:r>
      <w:r>
        <w:rPr>
          <w:rFonts w:eastAsia="MingLiU;細明體" w:cs="Garamond" w:ascii="Garamond" w:hAnsi="Garamond"/>
          <w:sz w:val="24"/>
          <w:szCs w:val="24"/>
        </w:rPr>
        <w:t xml:space="preserve">, 1991, </w:t>
      </w:r>
      <w:r>
        <w:rPr>
          <w:rFonts w:eastAsia="MingLiU;細明體" w:cs="Garamond" w:ascii="Garamond" w:hAnsi="Garamond"/>
          <w:sz w:val="24"/>
          <w:szCs w:val="24"/>
          <w:lang w:val="en-US"/>
        </w:rPr>
        <w:t>p</w:t>
      </w:r>
      <w:r>
        <w:rPr>
          <w:rFonts w:eastAsia="MingLiU;細明體" w:cs="Garamond" w:ascii="Garamond" w:hAnsi="Garamond"/>
          <w:sz w:val="24"/>
          <w:szCs w:val="24"/>
        </w:rPr>
        <w:t>. 278].</w:t>
      </w:r>
    </w:p>
    <w:p>
      <w:pPr>
        <w:pStyle w:val="Normal"/>
        <w:ind w:end="-31" w:firstLine="720"/>
        <w:jc w:val="both"/>
        <w:rPr/>
      </w:pPr>
      <w:r>
        <w:rPr>
          <w:rFonts w:eastAsia="MingLiU;細明體" w:cs="Garamond" w:ascii="Garamond" w:hAnsi="Garamond"/>
          <w:sz w:val="24"/>
          <w:szCs w:val="24"/>
        </w:rPr>
        <w:t>Таким образом, благодаря переводам буддийских текстов, образ создающего препятствия злого демона Винаяки со слоновьей головой стал известен в Китае к началу периода Тан (</w:t>
      </w:r>
      <w:r>
        <w:rPr>
          <w:rFonts w:eastAsia="MingLiU;細明體" w:cs="Garamond" w:ascii="Garamond" w:hAnsi="Garamond"/>
          <w:sz w:val="24"/>
          <w:szCs w:val="24"/>
          <w:lang w:val="en-US"/>
        </w:rPr>
        <w:t>VII</w:t>
      </w:r>
      <w:r>
        <w:rPr>
          <w:rFonts w:eastAsia="MingLiU;細明體" w:cs="Garamond" w:ascii="Garamond" w:hAnsi="Garamond"/>
          <w:sz w:val="24"/>
          <w:szCs w:val="24"/>
        </w:rPr>
        <w:t xml:space="preserve"> в.). Почти одновременно с вышеупомянутыми переводами стали появляться различные тексты эзотерического толка, относящиеся к тантрической традиции, в которых описывались ритуалы, устраняющие насылаемые Винаякой препятствия. К таким текстам относятся «Куан цзу цзай пу са суй синь чоу цзин» (</w:t>
      </w:r>
      <w:r>
        <w:rPr>
          <w:rFonts w:ascii="Garamond" w:hAnsi="Garamond" w:cs="Garamond" w:eastAsia="MingLiU;細明體"/>
          <w:sz w:val="24"/>
          <w:szCs w:val="24"/>
        </w:rPr>
        <w:t>觀自在菩薩隨心咒經</w:t>
      </w:r>
      <w:r>
        <w:rPr>
          <w:rFonts w:eastAsia="MingLiU;細明體" w:cs="Garamond" w:ascii="Garamond" w:hAnsi="Garamond"/>
          <w:sz w:val="24"/>
          <w:szCs w:val="24"/>
        </w:rPr>
        <w:t xml:space="preserve">; автор — Чжи-дун, сер. </w:t>
      </w:r>
      <w:r>
        <w:rPr>
          <w:rFonts w:eastAsia="MingLiU;細明體" w:cs="Garamond" w:ascii="Garamond" w:hAnsi="Garamond"/>
          <w:sz w:val="24"/>
          <w:szCs w:val="24"/>
          <w:lang w:val="en-US"/>
        </w:rPr>
        <w:t>VII</w:t>
      </w:r>
      <w:r>
        <w:rPr>
          <w:rFonts w:eastAsia="MingLiU;細明體" w:cs="Garamond" w:ascii="Garamond" w:hAnsi="Garamond"/>
          <w:sz w:val="24"/>
          <w:szCs w:val="24"/>
        </w:rPr>
        <w:t> в.) и «Пу кун чжуань со то ло ни цзин» (</w:t>
      </w:r>
      <w:r>
        <w:rPr>
          <w:rFonts w:ascii="Garamond" w:hAnsi="Garamond" w:cs="Garamond" w:eastAsia="MingLiU;細明體"/>
          <w:sz w:val="24"/>
          <w:szCs w:val="24"/>
        </w:rPr>
        <w:t>不空</w:t>
      </w:r>
      <w:r>
        <w:rPr>
          <w:rFonts w:ascii="Garamond" w:hAnsi="Garamond" w:cs="Garamond" w:eastAsia="Arial Unicode MS"/>
        </w:rPr>
        <w:t>羂</w:t>
      </w:r>
      <w:r>
        <w:rPr>
          <w:rFonts w:ascii="Garamond" w:hAnsi="Garamond" w:cs="Garamond" w:eastAsia="MingLiU;細明體"/>
          <w:sz w:val="24"/>
          <w:szCs w:val="24"/>
        </w:rPr>
        <w:t>索陀羅尼經</w:t>
      </w:r>
      <w:r>
        <w:rPr>
          <w:rFonts w:eastAsia="MingLiU;細明體" w:cs="Garamond" w:ascii="Garamond" w:hAnsi="Garamond"/>
          <w:sz w:val="24"/>
          <w:szCs w:val="24"/>
        </w:rPr>
        <w:t>; автор — Ли У-чан, 700 г.). В текстах говорится о том, что для совершения подобного ритуала необходимо воздвигнуть алтарь, украшенный ветками дерева или некими цветами аяли, произнести заклинание 108 раз и поститься один или три дня [</w:t>
      </w:r>
      <w:r>
        <w:rPr>
          <w:rFonts w:eastAsia="MingLiU;細明體" w:cs="Garamond" w:ascii="Garamond" w:hAnsi="Garamond"/>
          <w:sz w:val="24"/>
          <w:szCs w:val="24"/>
          <w:lang w:val="en-US"/>
        </w:rPr>
        <w:t>Lancaster</w:t>
      </w:r>
      <w:r>
        <w:rPr>
          <w:rFonts w:eastAsia="MingLiU;細明體" w:cs="Garamond" w:ascii="Garamond" w:hAnsi="Garamond"/>
          <w:sz w:val="24"/>
          <w:szCs w:val="24"/>
        </w:rPr>
        <w:t xml:space="preserve">, 1991, </w:t>
      </w:r>
      <w:r>
        <w:rPr>
          <w:rFonts w:eastAsia="MingLiU;細明體" w:cs="Garamond" w:ascii="Garamond" w:hAnsi="Garamond"/>
          <w:sz w:val="24"/>
          <w:szCs w:val="24"/>
          <w:lang w:val="en-US"/>
        </w:rPr>
        <w:t>p</w:t>
      </w:r>
      <w:r>
        <w:rPr>
          <w:rFonts w:eastAsia="MingLiU;細明體" w:cs="Garamond" w:ascii="Garamond" w:hAnsi="Garamond"/>
          <w:sz w:val="24"/>
          <w:szCs w:val="24"/>
        </w:rPr>
        <w:t>. 279].</w:t>
      </w:r>
    </w:p>
    <w:p>
      <w:pPr>
        <w:pStyle w:val="Normal"/>
        <w:ind w:end="-31" w:firstLine="720"/>
        <w:jc w:val="both"/>
        <w:rPr/>
      </w:pPr>
      <w:r>
        <w:rPr>
          <w:rFonts w:eastAsia="MingLiU;細明體" w:cs="Garamond" w:ascii="Garamond" w:hAnsi="Garamond"/>
          <w:sz w:val="24"/>
          <w:szCs w:val="24"/>
        </w:rPr>
        <w:t xml:space="preserve">Атигупта в переводе «Дхаранисамуккая» (654 г.) по-другому описывает ритуал усмирения Винаяки: для его проведения следует изготовить изображения двух </w:t>
      </w:r>
      <w:r>
        <w:rPr>
          <w:rFonts w:eastAsia="MingLiU;細明體" w:cs="Garamond" w:ascii="Garamond" w:hAnsi="Garamond"/>
          <w:i/>
          <w:sz w:val="24"/>
          <w:szCs w:val="24"/>
        </w:rPr>
        <w:t>винаяк</w:t>
      </w:r>
      <w:r>
        <w:rPr>
          <w:rFonts w:eastAsia="MingLiU;細明體" w:cs="Garamond" w:ascii="Garamond" w:hAnsi="Garamond"/>
          <w:sz w:val="24"/>
          <w:szCs w:val="24"/>
        </w:rPr>
        <w:t xml:space="preserve"> с головами слонов и телами людей в виде обнимающейся супружеской пары высотой в человеческий рост. Это изображение следует установить в первый день полнолуния в ритуально очищенном месте и поливать его теплым кунжутным маслом 108 раз, произнося при этом заклинания. При правильном проведении ритуала сбудутся все желания и все невзгоды и препятствия исчезнут [</w:t>
      </w:r>
      <w:r>
        <w:rPr>
          <w:rFonts w:eastAsia="MingLiU;細明體" w:cs="Garamond" w:ascii="Garamond" w:hAnsi="Garamond"/>
          <w:sz w:val="24"/>
          <w:szCs w:val="24"/>
          <w:lang w:val="en-US"/>
        </w:rPr>
        <w:t>Lancaster</w:t>
      </w:r>
      <w:r>
        <w:rPr>
          <w:rFonts w:eastAsia="MingLiU;細明體" w:cs="Garamond" w:ascii="Garamond" w:hAnsi="Garamond"/>
          <w:sz w:val="24"/>
          <w:szCs w:val="24"/>
        </w:rPr>
        <w:t xml:space="preserve">, 1991, </w:t>
      </w:r>
      <w:r>
        <w:rPr>
          <w:rFonts w:eastAsia="MingLiU;細明體" w:cs="Garamond" w:ascii="Garamond" w:hAnsi="Garamond"/>
          <w:sz w:val="24"/>
          <w:szCs w:val="24"/>
          <w:lang w:val="en-US"/>
        </w:rPr>
        <w:t>p</w:t>
      </w:r>
      <w:r>
        <w:rPr>
          <w:rFonts w:eastAsia="MingLiU;細明體" w:cs="Garamond" w:ascii="Garamond" w:hAnsi="Garamond"/>
          <w:sz w:val="24"/>
          <w:szCs w:val="24"/>
        </w:rPr>
        <w:t>. 279].</w:t>
      </w:r>
    </w:p>
    <w:p>
      <w:pPr>
        <w:pStyle w:val="Normal"/>
        <w:ind w:end="-31" w:firstLine="720"/>
        <w:jc w:val="both"/>
        <w:rPr/>
      </w:pPr>
      <w:r>
        <w:rPr>
          <w:rFonts w:eastAsia="MingLiU;細明體" w:cs="Garamond" w:ascii="Garamond" w:hAnsi="Garamond"/>
          <w:sz w:val="24"/>
          <w:szCs w:val="24"/>
        </w:rPr>
        <w:t xml:space="preserve">Другие упоминания о Ганеше (кит. Хуанси тянь; </w:t>
      </w:r>
      <w:r>
        <w:rPr>
          <w:rFonts w:ascii="Garamond" w:hAnsi="Garamond" w:cs="Garamond" w:eastAsia="MingLiU;細明體"/>
          <w:sz w:val="24"/>
          <w:szCs w:val="24"/>
        </w:rPr>
        <w:t>歓喜天</w:t>
      </w:r>
      <w:r>
        <w:rPr>
          <w:rFonts w:eastAsia="MingLiU;細明體" w:cs="Garamond" w:ascii="Garamond" w:hAnsi="Garamond"/>
          <w:sz w:val="24"/>
          <w:szCs w:val="24"/>
        </w:rPr>
        <w:t xml:space="preserve">) относятся к </w:t>
      </w:r>
      <w:r>
        <w:rPr>
          <w:rFonts w:eastAsia="MingLiU;細明體" w:cs="Garamond" w:ascii="Garamond" w:hAnsi="Garamond"/>
          <w:sz w:val="24"/>
          <w:szCs w:val="24"/>
          <w:lang w:val="en-US"/>
        </w:rPr>
        <w:t>VIII</w:t>
      </w:r>
      <w:r>
        <w:rPr>
          <w:rFonts w:eastAsia="MingLiU;細明體" w:cs="Garamond" w:ascii="Garamond" w:hAnsi="Garamond"/>
          <w:sz w:val="24"/>
          <w:szCs w:val="24"/>
        </w:rPr>
        <w:t xml:space="preserve"> в. и также встречаются в текстах эзотерического буддизма. Это трактаты «Ши чжоу фацзин; </w:t>
      </w:r>
      <w:r>
        <w:rPr>
          <w:rFonts w:ascii="Garamond" w:hAnsi="Garamond" w:cs="Garamond" w:eastAsia="MingLiU;細明體"/>
          <w:sz w:val="24"/>
          <w:szCs w:val="24"/>
        </w:rPr>
        <w:t>使呪法經</w:t>
      </w:r>
      <w:r>
        <w:rPr>
          <w:rFonts w:eastAsia="MingLiU;細明體" w:cs="Garamond" w:ascii="Garamond" w:hAnsi="Garamond"/>
          <w:sz w:val="24"/>
          <w:szCs w:val="24"/>
        </w:rPr>
        <w:t xml:space="preserve">» («Сутра об употреблении способов дхарани»), приписываемый Бодхируччи, Дхаранисаммукая в китайском переводе буддийского монаха и переводчика </w:t>
      </w:r>
      <w:r>
        <w:rPr>
          <w:rFonts w:eastAsia="MingLiU;細明體" w:cs="Garamond" w:ascii="Garamond" w:hAnsi="Garamond"/>
          <w:sz w:val="24"/>
          <w:szCs w:val="24"/>
          <w:lang w:val="en-US"/>
        </w:rPr>
        <w:t>VII</w:t>
      </w:r>
      <w:r>
        <w:rPr>
          <w:rFonts w:eastAsia="MingLiU;細明體" w:cs="Garamond" w:ascii="Garamond" w:hAnsi="Garamond"/>
          <w:sz w:val="24"/>
          <w:szCs w:val="24"/>
        </w:rPr>
        <w:t> в. Атикутты и «Дайсётэн канги сосин Бинаяка хо», переведенный Амогхаваджрой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xml:space="preserve">. 18]. В этих текстах говорится о почитании божества Винаяка-Ганапати, покровительствующем всяким начинаниям. Примечательно, что речь идет уже не о Ганеше как таковом, но о его двойном образе в союзе со своей </w:t>
      </w:r>
      <w:r>
        <w:rPr>
          <w:rFonts w:eastAsia="MingLiU;細明體" w:cs="Garamond" w:ascii="Garamond" w:hAnsi="Garamond"/>
          <w:i/>
          <w:sz w:val="24"/>
          <w:szCs w:val="24"/>
        </w:rPr>
        <w:t>шакти</w:t>
      </w:r>
      <w:r>
        <w:rPr>
          <w:rFonts w:eastAsia="MingLiU;細明體" w:cs="Garamond" w:ascii="Garamond" w:hAnsi="Garamond"/>
          <w:sz w:val="24"/>
          <w:szCs w:val="24"/>
        </w:rPr>
        <w:t xml:space="preserve">, также в виде </w:t>
      </w:r>
      <w:r>
        <w:rPr>
          <w:rFonts w:eastAsia="MingLiU;細明體" w:cs="Garamond" w:ascii="Garamond" w:hAnsi="Garamond"/>
          <w:i/>
          <w:sz w:val="24"/>
          <w:szCs w:val="24"/>
        </w:rPr>
        <w:t>винаяки</w:t>
      </w:r>
      <w:r>
        <w:rPr>
          <w:rFonts w:eastAsia="MingLiU;細明體" w:cs="Garamond" w:ascii="Garamond" w:hAnsi="Garamond"/>
          <w:sz w:val="24"/>
          <w:szCs w:val="24"/>
        </w:rPr>
        <w:t xml:space="preserve"> с головой слона. В вышеупомянутом «Дхаранисаммукая» приводится следующая легенда о том, как Ганеша появился на свет из левого бока богини Парвати в виде злого демона Винаяки. Чтобы усмирить его, бодхисаттва Авалокитешвара принял облик его брата Сэнаяки и обнял его. В другой легенде рассказывается о царе Маракейра, евшем человеческое мясо и превратившемся в царя демонов Винаяку. В отчаянии его подданные стали молить о спасении Авалокитешвару, принявшего облик демоницы-</w:t>
      </w:r>
      <w:r>
        <w:rPr>
          <w:rFonts w:eastAsia="MingLiU;細明體" w:cs="Garamond" w:ascii="Garamond" w:hAnsi="Garamond"/>
          <w:i/>
          <w:sz w:val="24"/>
          <w:szCs w:val="24"/>
        </w:rPr>
        <w:t>винаяки</w:t>
      </w:r>
      <w:r>
        <w:rPr>
          <w:rFonts w:eastAsia="MingLiU;細明體" w:cs="Garamond" w:ascii="Garamond" w:hAnsi="Garamond"/>
          <w:sz w:val="24"/>
          <w:szCs w:val="24"/>
        </w:rPr>
        <w:t xml:space="preserve">. Демоница стала женой Винаяки, смягчила его сердце и убедила принять буддийские обеты. Так Винаяка из злого духа превратился в божество, охраняющее буддизм. В дальнейшем в некоторых тантрических текстах его связь с Авалокитешварой и их символическое изображение в виде двух обнимающихся </w:t>
      </w:r>
      <w:r>
        <w:rPr>
          <w:rFonts w:eastAsia="MingLiU;細明體" w:cs="Garamond" w:ascii="Garamond" w:hAnsi="Garamond"/>
          <w:i/>
          <w:sz w:val="24"/>
          <w:szCs w:val="24"/>
        </w:rPr>
        <w:t xml:space="preserve">винаяк </w:t>
      </w:r>
      <w:r>
        <w:rPr>
          <w:rFonts w:eastAsia="MingLiU;細明體" w:cs="Garamond" w:ascii="Garamond" w:hAnsi="Garamond"/>
          <w:sz w:val="24"/>
          <w:szCs w:val="24"/>
        </w:rPr>
        <w:t>привело к тому, что Ганеша стал ассоциироваться с Буддой Вайрочаной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18–22].</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Хотя в индуизме Ганеша традиционно изображался как одно божество, все же ему также приписывалось наличие супруг-богинь, воплощающих </w:t>
      </w:r>
      <w:r>
        <w:rPr>
          <w:rFonts w:eastAsia="MingLiU;細明體" w:cs="Garamond" w:ascii="Garamond" w:hAnsi="Garamond"/>
          <w:i/>
          <w:sz w:val="24"/>
          <w:szCs w:val="24"/>
        </w:rPr>
        <w:t>шакти</w:t>
      </w:r>
      <w:r>
        <w:rPr>
          <w:rFonts w:eastAsia="MingLiU;細明體" w:cs="Garamond" w:ascii="Garamond" w:hAnsi="Garamond"/>
          <w:sz w:val="24"/>
          <w:szCs w:val="24"/>
        </w:rPr>
        <w:t xml:space="preserve"> (в индуизме — активная  женская  энергия мироздания).  Это</w:t>
      </w:r>
      <w:r>
        <w:rPr>
          <w:rFonts w:eastAsia="MingLiU;細明體" w:cs="Garamond" w:ascii="Garamond" w:hAnsi="Garamond"/>
          <w:sz w:val="24"/>
          <w:szCs w:val="24"/>
          <w:lang w:val="en-US"/>
        </w:rPr>
        <w:t xml:space="preserve"> </w:t>
      </w:r>
      <w:r>
        <w:rPr>
          <w:rFonts w:eastAsia="MingLiU;細明體" w:cs="Garamond" w:ascii="Garamond" w:hAnsi="Garamond"/>
          <w:sz w:val="24"/>
          <w:szCs w:val="24"/>
        </w:rPr>
        <w:t xml:space="preserve"> три </w:t>
      </w:r>
      <w:r>
        <w:rPr>
          <w:rFonts w:eastAsia="MingLiU;細明體" w:cs="Garamond" w:ascii="Garamond" w:hAnsi="Garamond"/>
          <w:sz w:val="24"/>
          <w:szCs w:val="24"/>
          <w:lang w:val="en-US"/>
        </w:rPr>
        <w:t xml:space="preserve"> </w:t>
      </w:r>
      <w:r>
        <w:rPr>
          <w:rFonts w:eastAsia="MingLiU;細明體" w:cs="Garamond" w:ascii="Garamond" w:hAnsi="Garamond"/>
          <w:sz w:val="24"/>
          <w:szCs w:val="24"/>
        </w:rPr>
        <w:t>богини</w:t>
      </w:r>
      <w:r>
        <w:rPr>
          <w:rFonts w:eastAsia="MingLiU;細明體" w:cs="Garamond" w:ascii="Garamond" w:hAnsi="Garamond"/>
          <w:sz w:val="24"/>
          <w:szCs w:val="24"/>
          <w:lang w:val="en-US"/>
        </w:rPr>
        <w:t xml:space="preserve">  </w:t>
      </w:r>
      <w:r>
        <w:rPr>
          <w:rFonts w:eastAsia="MingLiU;細明體" w:cs="Garamond" w:ascii="Garamond" w:hAnsi="Garamond"/>
          <w:sz w:val="24"/>
          <w:szCs w:val="24"/>
        </w:rPr>
        <w:t xml:space="preserve">— </w:t>
      </w:r>
      <w:r>
        <w:rPr>
          <w:rFonts w:eastAsia="MingLiU;細明體" w:cs="Garamond" w:ascii="Garamond" w:hAnsi="Garamond"/>
          <w:sz w:val="24"/>
          <w:szCs w:val="24"/>
          <w:lang w:val="en-US"/>
        </w:rPr>
        <w:t xml:space="preserve"> </w:t>
      </w:r>
      <w:r>
        <w:rPr>
          <w:rFonts w:eastAsia="MingLiU;細明體" w:cs="Garamond" w:ascii="Garamond" w:hAnsi="Garamond"/>
          <w:sz w:val="24"/>
          <w:szCs w:val="24"/>
        </w:rPr>
        <w:t xml:space="preserve">Сиддхи </w:t>
      </w:r>
      <w:r>
        <w:rPr>
          <w:rFonts w:eastAsia="MingLiU;細明體" w:cs="Garamond" w:ascii="Garamond" w:hAnsi="Garamond"/>
          <w:sz w:val="24"/>
          <w:szCs w:val="24"/>
          <w:lang w:val="en-US"/>
        </w:rPr>
        <w:t xml:space="preserve"> </w:t>
      </w:r>
      <w:r>
        <w:rPr>
          <w:rFonts w:eastAsia="MingLiU;細明體" w:cs="Garamond" w:ascii="Garamond" w:hAnsi="Garamond"/>
          <w:sz w:val="24"/>
          <w:szCs w:val="24"/>
        </w:rPr>
        <w:t xml:space="preserve">(успех), </w:t>
      </w:r>
      <w:r>
        <w:rPr>
          <w:rFonts w:eastAsia="MingLiU;細明體" w:cs="Garamond" w:ascii="Garamond" w:hAnsi="Garamond"/>
          <w:sz w:val="24"/>
          <w:szCs w:val="24"/>
          <w:lang w:val="en-US"/>
        </w:rPr>
        <w:t xml:space="preserve"> </w:t>
      </w:r>
      <w:r>
        <w:rPr>
          <w:rFonts w:eastAsia="MingLiU;細明體" w:cs="Garamond" w:ascii="Garamond" w:hAnsi="Garamond"/>
          <w:sz w:val="24"/>
          <w:szCs w:val="24"/>
        </w:rPr>
        <w:t xml:space="preserve">Риддхи </w:t>
      </w:r>
    </w:p>
    <w:p>
      <w:pPr>
        <w:pStyle w:val="Normal"/>
        <w:ind w:end="-31" w:hanging="0"/>
        <w:jc w:val="both"/>
        <w:rPr>
          <w:rFonts w:ascii="Garamond" w:hAnsi="Garamond" w:eastAsia="MingLiU;細明體" w:cs="Garamond"/>
          <w:sz w:val="24"/>
          <w:szCs w:val="24"/>
        </w:rPr>
      </w:pPr>
      <w:r>
        <w:rPr>
          <w:rFonts w:eastAsia="MingLiU;細明體" w:cs="Garamond" w:ascii="Garamond" w:hAnsi="Garamond"/>
          <w:sz w:val="24"/>
          <w:szCs w:val="24"/>
        </w:rPr>
        <w:t>(богатство) и Буддхи (мудрость). Также в некоторых легендах упоминается, что супругами Ганеши были богини Сарасвати и Лакшми. Наконец, в буддийской иконографии встречаются изображения Ганеши совместно с Аштасиддхи — богинями, символизирующими восемь духовных достижений.</w:t>
      </w:r>
      <w:r>
        <mc:AlternateContent>
          <mc:Choice Requires="wps">
            <w:drawing>
              <wp:anchor behindDoc="0" distT="0" distB="0" distL="0" distR="114300" simplePos="0" locked="0" layoutInCell="1" allowOverlap="1" relativeHeight="8">
                <wp:simplePos x="0" y="0"/>
                <wp:positionH relativeFrom="margin">
                  <wp:posOffset>-68580</wp:posOffset>
                </wp:positionH>
                <wp:positionV relativeFrom="page">
                  <wp:posOffset>835025</wp:posOffset>
                </wp:positionV>
                <wp:extent cx="2468880" cy="4632325"/>
                <wp:effectExtent l="0" t="0" r="0" b="0"/>
                <wp:wrapSquare wrapText="bothSides"/>
                <wp:docPr id="11" name="Врезка4"/>
                <a:graphic xmlns:a="http://schemas.openxmlformats.org/drawingml/2006/main">
                  <a:graphicData uri="http://schemas.microsoft.com/office/word/2010/wordprocessingShape">
                    <wps:wsp>
                      <wps:cNvSpPr txBox="1"/>
                      <wps:spPr>
                        <a:xfrm>
                          <a:off x="0" y="0"/>
                          <a:ext cx="2468880" cy="4632325"/>
                        </a:xfrm>
                        <a:prstGeom prst="rect"/>
                        <a:solidFill>
                          <a:srgbClr val="FFFFFF">
                            <a:alpha val="0"/>
                          </a:srgbClr>
                        </a:solidFill>
                      </wps:spPr>
                      <wps:txbx>
                        <w:txbxContent>
                          <w:tbl>
                            <w:tblPr>
                              <w:tblW w:w="3888" w:type="dxa"/>
                              <w:jc w:val="start"/>
                              <w:tblInd w:w="0" w:type="dxa"/>
                              <w:tblBorders/>
                              <w:tblCellMar>
                                <w:top w:w="0" w:type="dxa"/>
                                <w:start w:w="108" w:type="dxa"/>
                                <w:bottom w:w="0" w:type="dxa"/>
                                <w:end w:w="108" w:type="dxa"/>
                              </w:tblCellMar>
                            </w:tblPr>
                            <w:tblGrid>
                              <w:gridCol w:w="3888"/>
                            </w:tblGrid>
                            <w:tr>
                              <w:trPr/>
                              <w:tc>
                                <w:tcPr>
                                  <w:tcW w:w="3888" w:type="dxa"/>
                                  <w:tcBorders/>
                                  <w:shd w:fill="auto" w:val="clear"/>
                                </w:tcPr>
                                <w:p>
                                  <w:pPr>
                                    <w:pStyle w:val="Normal"/>
                                    <w:ind w:end="-31" w:hanging="0"/>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2385060" cy="3656965"/>
                                        <wp:effectExtent l="0" t="0" r="0" b="0"/>
                                        <wp:docPr id="12"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 descr="" title=""/>
                                                <pic:cNvPicPr>
                                                  <a:picLocks noChangeAspect="1" noChangeArrowheads="1"/>
                                                </pic:cNvPicPr>
                                              </pic:nvPicPr>
                                              <pic:blipFill>
                                                <a:blip r:embed="rId12"/>
                                                <a:srcRect l="-4" t="-3" r="-4" b="-3"/>
                                                <a:stretch>
                                                  <a:fillRect/>
                                                </a:stretch>
                                              </pic:blipFill>
                                              <pic:spPr bwMode="auto">
                                                <a:xfrm>
                                                  <a:off x="0" y="0"/>
                                                  <a:ext cx="2385060" cy="3656965"/>
                                                </a:xfrm>
                                                <a:prstGeom prst="rect">
                                                  <a:avLst/>
                                                </a:prstGeom>
                                              </pic:spPr>
                                            </pic:pic>
                                          </a:graphicData>
                                        </a:graphic>
                                      </wp:inline>
                                    </w:drawing>
                                  </w:r>
                                </w:p>
                                <w:p>
                                  <w:pPr>
                                    <w:pStyle w:val="Normal"/>
                                    <w:ind w:end="-31" w:hanging="0"/>
                                    <w:jc w:val="center"/>
                                    <w:rPr/>
                                  </w:pPr>
                                  <w:r>
                                    <w:rPr>
                                      <w:rFonts w:eastAsia="MingLiU;細明體" w:cs="Garamond" w:ascii="Garamond" w:hAnsi="Garamond"/>
                                      <w:bCs/>
                                      <w:i/>
                                      <w:sz w:val="22"/>
                                      <w:szCs w:val="22"/>
                                    </w:rPr>
                                    <w:t>Илл. 4</w:t>
                                  </w:r>
                                  <w:r>
                                    <w:rPr>
                                      <w:rFonts w:eastAsia="MingLiU;細明體" w:cs="Garamond" w:ascii="Garamond" w:hAnsi="Garamond"/>
                                      <w:bCs/>
                                      <w:sz w:val="22"/>
                                      <w:szCs w:val="22"/>
                                    </w:rPr>
                                    <w:t xml:space="preserve">. </w:t>
                                  </w:r>
                                  <w:r>
                                    <w:rPr>
                                      <w:rFonts w:cs="Garamond" w:ascii="Garamond" w:hAnsi="Garamond"/>
                                      <w:sz w:val="22"/>
                                      <w:szCs w:val="22"/>
                                    </w:rPr>
                                    <w:t>Ганеша с супругой-богиней, Индия, XI в., песчаник</w:t>
                                  </w:r>
                                </w:p>
                                <w:p>
                                  <w:pPr>
                                    <w:pStyle w:val="Normal"/>
                                    <w:ind w:end="-31" w:hanging="0"/>
                                    <w:jc w:val="center"/>
                                    <w:rPr>
                                      <w:rFonts w:ascii="Garamond" w:hAnsi="Garamond" w:eastAsia="MingLiU;細明體" w:cs="Garamond"/>
                                      <w:bCs/>
                                      <w:sz w:val="22"/>
                                      <w:szCs w:val="22"/>
                                      <w:lang w:val="en-US"/>
                                    </w:rPr>
                                  </w:pPr>
                                  <w:r>
                                    <w:rPr>
                                      <w:rFonts w:cs="Garamond" w:ascii="Garamond" w:hAnsi="Garamond"/>
                                      <w:sz w:val="22"/>
                                      <w:szCs w:val="22"/>
                                    </w:rPr>
                                    <w:t xml:space="preserve">(по: </w:t>
                                  </w:r>
                                  <w:r>
                                    <w:rPr>
                                      <w:rFonts w:cs="Garamond" w:ascii="Garamond" w:hAnsi="Garamond"/>
                                      <w:i/>
                                      <w:sz w:val="22"/>
                                      <w:szCs w:val="22"/>
                                      <w:lang w:val="en-US"/>
                                    </w:rPr>
                                    <w:t>H</w:t>
                                  </w:r>
                                  <w:r>
                                    <w:rPr>
                                      <w:rFonts w:cs="Garamond" w:ascii="Garamond" w:hAnsi="Garamond"/>
                                      <w:i/>
                                      <w:sz w:val="22"/>
                                      <w:szCs w:val="22"/>
                                    </w:rPr>
                                    <w:t>inducosmos</w:t>
                                  </w:r>
                                  <w:r>
                                    <w:rPr>
                                      <w:rFonts w:cs="Garamond" w:ascii="Garamond" w:hAnsi="Garamond"/>
                                      <w:sz w:val="22"/>
                                      <w:szCs w:val="22"/>
                                    </w:rPr>
                                    <w:t xml:space="preserve">. </w:t>
                                  </w:r>
                                  <w:r>
                                    <w:rPr>
                                      <w:rFonts w:cs="Garamond" w:ascii="Garamond" w:hAnsi="Garamond"/>
                                      <w:sz w:val="22"/>
                                      <w:szCs w:val="22"/>
                                      <w:lang w:val="en-US"/>
                                    </w:rPr>
                                    <w:t xml:space="preserve">URL: </w:t>
                                  </w:r>
                                  <w:hyperlink r:id="rId13" w:tgtFrame="_blank">
                                    <w:r>
                                      <w:rPr>
                                        <w:rStyle w:val="Style15"/>
                                        <w:rFonts w:cs="Garamond" w:ascii="Garamond" w:hAnsi="Garamond"/>
                                        <w:color w:val="000000"/>
                                        <w:sz w:val="22"/>
                                        <w:szCs w:val="22"/>
                                        <w:u w:val="none"/>
                                      </w:rPr>
                                      <w:t>https://hinducosmos.tumblr.com/tagged/sculpture</w:t>
                                    </w:r>
                                  </w:hyperlink>
                                  <w:r>
                                    <w:rPr>
                                      <w:rFonts w:cs="Garamond" w:ascii="Garamond" w:hAnsi="Garamond"/>
                                      <w:sz w:val="22"/>
                                      <w:szCs w:val="22"/>
                                    </w:rPr>
                                    <w:t>)</w:t>
                                  </w:r>
                                </w:p>
                              </w:tc>
                            </w:tr>
                          </w:tbl>
                        </w:txbxContent>
                      </wps:txbx>
                      <wps:bodyPr anchor="t" lIns="0" tIns="0" rIns="0" bIns="0">
                        <a:noAutofit/>
                      </wps:bodyPr>
                    </wps:wsp>
                  </a:graphicData>
                </a:graphic>
              </wp:anchor>
            </w:drawing>
          </mc:Choice>
          <mc:Fallback>
            <w:pict>
              <v:rect fillcolor="#FFFFFF" style="position:absolute;rotation:0;width:194.4pt;height:364.75pt;mso-wrap-distance-left:0pt;mso-wrap-distance-right:9pt;mso-wrap-distance-top:0pt;mso-wrap-distance-bottom:0pt;margin-top:65.75pt;mso-position-vertical-relative:page;margin-left:-5.4pt;mso-position-horizontal-relative:margin">
                <v:fill opacity="0f"/>
                <v:textbox>
                  <w:txbxContent>
                    <w:tbl>
                      <w:tblPr>
                        <w:tblW w:w="3888" w:type="dxa"/>
                        <w:jc w:val="start"/>
                        <w:tblInd w:w="0" w:type="dxa"/>
                        <w:tblBorders/>
                        <w:tblCellMar>
                          <w:top w:w="0" w:type="dxa"/>
                          <w:start w:w="108" w:type="dxa"/>
                          <w:bottom w:w="0" w:type="dxa"/>
                          <w:end w:w="108" w:type="dxa"/>
                        </w:tblCellMar>
                      </w:tblPr>
                      <w:tblGrid>
                        <w:gridCol w:w="3888"/>
                      </w:tblGrid>
                      <w:tr>
                        <w:trPr/>
                        <w:tc>
                          <w:tcPr>
                            <w:tcW w:w="3888" w:type="dxa"/>
                            <w:tcBorders/>
                            <w:shd w:fill="auto" w:val="clear"/>
                          </w:tcPr>
                          <w:p>
                            <w:pPr>
                              <w:pStyle w:val="Normal"/>
                              <w:ind w:end="-31" w:hanging="0"/>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2385060" cy="3656965"/>
                                  <wp:effectExtent l="0" t="0" r="0" b="0"/>
                                  <wp:docPr id="13"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descr="" title=""/>
                                          <pic:cNvPicPr>
                                            <a:picLocks noChangeAspect="1" noChangeArrowheads="1"/>
                                          </pic:cNvPicPr>
                                        </pic:nvPicPr>
                                        <pic:blipFill>
                                          <a:blip r:embed="rId12"/>
                                          <a:srcRect l="-4" t="-3" r="-4" b="-3"/>
                                          <a:stretch>
                                            <a:fillRect/>
                                          </a:stretch>
                                        </pic:blipFill>
                                        <pic:spPr bwMode="auto">
                                          <a:xfrm>
                                            <a:off x="0" y="0"/>
                                            <a:ext cx="2385060" cy="3656965"/>
                                          </a:xfrm>
                                          <a:prstGeom prst="rect">
                                            <a:avLst/>
                                          </a:prstGeom>
                                        </pic:spPr>
                                      </pic:pic>
                                    </a:graphicData>
                                  </a:graphic>
                                </wp:inline>
                              </w:drawing>
                            </w:r>
                          </w:p>
                          <w:p>
                            <w:pPr>
                              <w:pStyle w:val="Normal"/>
                              <w:ind w:end="-31" w:hanging="0"/>
                              <w:jc w:val="center"/>
                              <w:rPr/>
                            </w:pPr>
                            <w:r>
                              <w:rPr>
                                <w:rFonts w:eastAsia="MingLiU;細明體" w:cs="Garamond" w:ascii="Garamond" w:hAnsi="Garamond"/>
                                <w:bCs/>
                                <w:i/>
                                <w:sz w:val="22"/>
                                <w:szCs w:val="22"/>
                              </w:rPr>
                              <w:t>Илл. 4</w:t>
                            </w:r>
                            <w:r>
                              <w:rPr>
                                <w:rFonts w:eastAsia="MingLiU;細明體" w:cs="Garamond" w:ascii="Garamond" w:hAnsi="Garamond"/>
                                <w:bCs/>
                                <w:sz w:val="22"/>
                                <w:szCs w:val="22"/>
                              </w:rPr>
                              <w:t xml:space="preserve">. </w:t>
                            </w:r>
                            <w:r>
                              <w:rPr>
                                <w:rFonts w:cs="Garamond" w:ascii="Garamond" w:hAnsi="Garamond"/>
                                <w:sz w:val="22"/>
                                <w:szCs w:val="22"/>
                              </w:rPr>
                              <w:t>Ганеша с супругой-богиней, Индия, XI в., песчаник</w:t>
                            </w:r>
                          </w:p>
                          <w:p>
                            <w:pPr>
                              <w:pStyle w:val="Normal"/>
                              <w:ind w:end="-31" w:hanging="0"/>
                              <w:jc w:val="center"/>
                              <w:rPr>
                                <w:rFonts w:ascii="Garamond" w:hAnsi="Garamond" w:eastAsia="MingLiU;細明體" w:cs="Garamond"/>
                                <w:bCs/>
                                <w:sz w:val="22"/>
                                <w:szCs w:val="22"/>
                                <w:lang w:val="en-US"/>
                              </w:rPr>
                            </w:pPr>
                            <w:r>
                              <w:rPr>
                                <w:rFonts w:cs="Garamond" w:ascii="Garamond" w:hAnsi="Garamond"/>
                                <w:sz w:val="22"/>
                                <w:szCs w:val="22"/>
                              </w:rPr>
                              <w:t xml:space="preserve">(по: </w:t>
                            </w:r>
                            <w:r>
                              <w:rPr>
                                <w:rFonts w:cs="Garamond" w:ascii="Garamond" w:hAnsi="Garamond"/>
                                <w:i/>
                                <w:sz w:val="22"/>
                                <w:szCs w:val="22"/>
                                <w:lang w:val="en-US"/>
                              </w:rPr>
                              <w:t>H</w:t>
                            </w:r>
                            <w:r>
                              <w:rPr>
                                <w:rFonts w:cs="Garamond" w:ascii="Garamond" w:hAnsi="Garamond"/>
                                <w:i/>
                                <w:sz w:val="22"/>
                                <w:szCs w:val="22"/>
                              </w:rPr>
                              <w:t>inducosmos</w:t>
                            </w:r>
                            <w:r>
                              <w:rPr>
                                <w:rFonts w:cs="Garamond" w:ascii="Garamond" w:hAnsi="Garamond"/>
                                <w:sz w:val="22"/>
                                <w:szCs w:val="22"/>
                              </w:rPr>
                              <w:t xml:space="preserve">. </w:t>
                            </w:r>
                            <w:r>
                              <w:rPr>
                                <w:rFonts w:cs="Garamond" w:ascii="Garamond" w:hAnsi="Garamond"/>
                                <w:sz w:val="22"/>
                                <w:szCs w:val="22"/>
                                <w:lang w:val="en-US"/>
                              </w:rPr>
                              <w:t xml:space="preserve">URL: </w:t>
                            </w:r>
                            <w:hyperlink r:id="rId14" w:tgtFrame="_blank">
                              <w:r>
                                <w:rPr>
                                  <w:rStyle w:val="Style15"/>
                                  <w:rFonts w:cs="Garamond" w:ascii="Garamond" w:hAnsi="Garamond"/>
                                  <w:color w:val="000000"/>
                                  <w:sz w:val="22"/>
                                  <w:szCs w:val="22"/>
                                  <w:u w:val="none"/>
                                </w:rPr>
                                <w:t>https://hinducosmos.tumblr.com/tagged/sculpture</w:t>
                              </w:r>
                            </w:hyperlink>
                            <w:r>
                              <w:rPr>
                                <w:rFonts w:cs="Garamond" w:ascii="Garamond" w:hAnsi="Garamond"/>
                                <w:sz w:val="22"/>
                                <w:szCs w:val="22"/>
                              </w:rPr>
                              <w:t>)</w:t>
                            </w:r>
                          </w:p>
                        </w:tc>
                      </w:tr>
                    </w:tbl>
                  </w:txbxContent>
                </v:textbox>
                <w10:wrap type="square"/>
              </v:rect>
            </w:pict>
          </mc:Fallback>
        </mc:AlternateContent>
      </w:r>
    </w:p>
    <w:p>
      <w:pPr>
        <w:pStyle w:val="Normal"/>
        <w:ind w:end="-31" w:firstLine="720"/>
        <w:jc w:val="both"/>
        <w:rPr/>
      </w:pPr>
      <w:r>
        <w:rPr>
          <w:rFonts w:eastAsia="MingLiU;細明體" w:cs="Garamond" w:ascii="Garamond" w:hAnsi="Garamond"/>
          <w:sz w:val="24"/>
          <w:szCs w:val="24"/>
        </w:rPr>
        <w:t xml:space="preserve">Однако на Дальнем Востоке и особенно в Японии получили распространение изображения являющегося перевоплощением Авалокитешвары Ганеши, обнимающем </w:t>
      </w:r>
      <w:r>
        <w:rPr>
          <w:rFonts w:eastAsia="MingLiU;細明體" w:cs="Garamond" w:ascii="Garamond" w:hAnsi="Garamond"/>
          <w:i/>
          <w:sz w:val="24"/>
          <w:szCs w:val="24"/>
        </w:rPr>
        <w:t>винаяку</w:t>
      </w:r>
      <w:r>
        <w:rPr>
          <w:rFonts w:eastAsia="MingLiU;細明體" w:cs="Garamond" w:ascii="Garamond" w:hAnsi="Garamond"/>
          <w:sz w:val="24"/>
          <w:szCs w:val="24"/>
        </w:rPr>
        <w:t xml:space="preserve"> с головой слона.</w:t>
      </w:r>
    </w:p>
    <w:p>
      <w:pPr>
        <w:pStyle w:val="Normal"/>
        <w:ind w:end="-31" w:firstLine="720"/>
        <w:jc w:val="both"/>
        <w:rPr/>
      </w:pPr>
      <w:r>
        <w:rPr>
          <w:rFonts w:eastAsia="MingLiU;細明體" w:cs="Garamond" w:ascii="Garamond" w:hAnsi="Garamond"/>
          <w:sz w:val="24"/>
          <w:szCs w:val="24"/>
        </w:rPr>
        <w:t>В более поздний период, уже в конце династии Тан и в начале периода Сун (</w:t>
      </w:r>
      <w:r>
        <w:rPr>
          <w:rFonts w:eastAsia="MingLiU;細明體" w:cs="Garamond" w:ascii="Garamond" w:hAnsi="Garamond"/>
          <w:sz w:val="24"/>
          <w:szCs w:val="24"/>
          <w:lang w:val="en-US"/>
        </w:rPr>
        <w:t>IX</w:t>
      </w:r>
      <w:r>
        <w:rPr>
          <w:rFonts w:eastAsia="MingLiU;細明體" w:cs="Garamond" w:ascii="Garamond" w:hAnsi="Garamond"/>
          <w:sz w:val="24"/>
          <w:szCs w:val="24"/>
        </w:rPr>
        <w:t>–</w:t>
      </w:r>
      <w:r>
        <w:rPr>
          <w:rFonts w:eastAsia="MingLiU;細明體" w:cs="Garamond" w:ascii="Garamond" w:hAnsi="Garamond"/>
          <w:sz w:val="24"/>
          <w:szCs w:val="24"/>
          <w:lang w:val="en-US"/>
        </w:rPr>
        <w:t>XI</w:t>
      </w:r>
      <w:r>
        <w:rPr>
          <w:rFonts w:eastAsia="MingLiU;細明體" w:cs="Garamond" w:ascii="Garamond" w:hAnsi="Garamond"/>
          <w:sz w:val="24"/>
          <w:szCs w:val="24"/>
        </w:rPr>
        <w:t xml:space="preserve"> вв.) появились новые тантрические тексты, связанные с поклонением так называемому Золотому Ганапати (кит. Цзиньсэ Цзянабоди, яп. Кондзики ганахати; </w:t>
      </w:r>
      <w:r>
        <w:rPr>
          <w:rFonts w:ascii="Garamond" w:hAnsi="Garamond" w:cs="Garamond" w:eastAsia="MingLiU;細明體"/>
          <w:sz w:val="24"/>
          <w:szCs w:val="24"/>
        </w:rPr>
        <w:t>金色迦那鉢底</w:t>
      </w:r>
      <w:r>
        <w:rPr>
          <w:rFonts w:eastAsia="MingLiU;細明體" w:cs="Garamond" w:ascii="Garamond" w:hAnsi="Garamond"/>
          <w:sz w:val="24"/>
          <w:szCs w:val="24"/>
        </w:rPr>
        <w:t>), или Ваджравинаяке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xml:space="preserve">. 18–22] Там он изображался в своей гневной ипостаси, с тремя головами и шестью руками, со змеей вместо пояса. Это изображение следовало хранить в тайне от всех, делать ему подношения вином, редисом, сладостями и медом, а во время ритуалов поклонения концентрироваться на единой гармонии мыслей, речи и тела. Как указывается в сутре-дхарани «Фошо цзиньсэ цзянабоди туолони цзин» (яп. «Кондзики ганахати дарани кё»; </w:t>
      </w:r>
      <w:r>
        <w:rPr>
          <w:rFonts w:ascii="Garamond" w:hAnsi="Garamond" w:cs="Garamond" w:eastAsia="MingLiU;細明體"/>
          <w:sz w:val="24"/>
          <w:szCs w:val="24"/>
        </w:rPr>
        <w:t>金色迦那鉢底陀羅尼經</w:t>
      </w:r>
      <w:r>
        <w:rPr>
          <w:rFonts w:eastAsia="MingLiU;細明體" w:cs="Garamond" w:ascii="Garamond" w:hAnsi="Garamond"/>
          <w:sz w:val="24"/>
          <w:szCs w:val="24"/>
        </w:rPr>
        <w:t>), правильное соблюдение всех ритуалов поклонения Ганапати приведет к тому, что это божество станет следовать за адептом и устранять все препятствия на его пути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18–22].</w:t>
      </w:r>
    </w:p>
    <w:p>
      <w:pPr>
        <w:pStyle w:val="Normal"/>
        <w:ind w:end="-31" w:firstLine="720"/>
        <w:jc w:val="both"/>
        <w:rPr/>
      </w:pPr>
      <w:r>
        <w:rPr>
          <w:rFonts w:eastAsia="MingLiU;細明體" w:cs="Garamond" w:ascii="Garamond" w:hAnsi="Garamond"/>
          <w:sz w:val="24"/>
          <w:szCs w:val="24"/>
        </w:rPr>
        <w:t xml:space="preserve">Особый эзотерический характер образа Ваджравинаяки, обусловленный во многом его изначальной демонической природой, привел к тому, что в начале </w:t>
      </w:r>
      <w:r>
        <w:rPr>
          <w:rFonts w:eastAsia="MingLiU;細明體" w:cs="Garamond" w:ascii="Garamond" w:hAnsi="Garamond"/>
          <w:sz w:val="24"/>
          <w:szCs w:val="24"/>
          <w:lang w:val="en-US"/>
        </w:rPr>
        <w:t>XI</w:t>
      </w:r>
      <w:r>
        <w:rPr>
          <w:rFonts w:eastAsia="MingLiU;細明體" w:cs="Garamond" w:ascii="Garamond" w:hAnsi="Garamond"/>
          <w:sz w:val="24"/>
          <w:szCs w:val="24"/>
        </w:rPr>
        <w:t> в. появился особый род текстов, связывавший его с ритуалами черной магии. К подобным текстам относилась сутра «Цзиньган са до шо пинь на е цзя тянь чэнцзю и гуй цзин»       (</w:t>
      </w:r>
      <w:r>
        <w:rPr>
          <w:rFonts w:ascii="Garamond" w:hAnsi="Garamond" w:cs="Garamond" w:eastAsia="MingLiU;細明體"/>
          <w:sz w:val="24"/>
          <w:szCs w:val="24"/>
        </w:rPr>
        <w:t>金剛薩埵説頻那夜迦天成就儀軌經</w:t>
      </w:r>
      <w:r>
        <w:rPr>
          <w:rFonts w:eastAsia="MingLiU;細明體" w:cs="Garamond" w:ascii="Garamond" w:hAnsi="Garamond"/>
          <w:sz w:val="24"/>
          <w:szCs w:val="24"/>
        </w:rPr>
        <w:t>; яп.: «Конгосатта сэцу бинаякатэн дзёдзю гики-кё»;), переведенная Фасянем (</w:t>
      </w:r>
      <w:r>
        <w:rPr>
          <w:rFonts w:ascii="Garamond" w:hAnsi="Garamond" w:cs="Garamond" w:eastAsia="MingLiU;細明體"/>
          <w:sz w:val="24"/>
          <w:szCs w:val="24"/>
        </w:rPr>
        <w:t>法賢</w:t>
      </w:r>
      <w:r>
        <w:rPr>
          <w:rFonts w:eastAsia="MingLiU;細明體" w:cs="Garamond" w:ascii="Garamond" w:hAnsi="Garamond"/>
          <w:sz w:val="24"/>
          <w:szCs w:val="24"/>
        </w:rPr>
        <w:t>) в 1001 г. Некоторые описанные в сутре магические ритуалы поклонения Винаяке выглядели столь устрашающими, что в 1017 г. император династии Сун Чжэнь-цзун (968–1022) запретил дальнейшие переводы и распространение этой сутры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18–22].</w:t>
      </w:r>
    </w:p>
    <w:p>
      <w:pPr>
        <w:pStyle w:val="Normal"/>
        <w:ind w:end="-31" w:firstLine="720"/>
        <w:jc w:val="both"/>
        <w:rPr/>
      </w:pPr>
      <w:r>
        <w:rPr>
          <w:rFonts w:eastAsia="MingLiU;細明體" w:cs="Garamond" w:ascii="Garamond" w:hAnsi="Garamond"/>
          <w:sz w:val="24"/>
          <w:szCs w:val="24"/>
        </w:rPr>
        <w:t xml:space="preserve">С дальнейшим распространением буддизма Ваджраяны на Дальнем Востоке Ганеша, наряду с другими индуистскими божествами, вошедшими в тантрический пантеон (Индрой, Брахмой, Шивой, Куберой), стал известен и в Японии. Это стало возможно благодаря деятельности японского монаха Кукая </w:t>
      </w:r>
      <w:r>
        <w:rPr>
          <w:rFonts w:ascii="Garamond" w:hAnsi="Garamond" w:cs="Garamond" w:eastAsia="MingLiU;細明體"/>
          <w:sz w:val="24"/>
          <w:szCs w:val="24"/>
        </w:rPr>
        <w:t>空海</w:t>
      </w:r>
      <w:r>
        <w:rPr>
          <w:rFonts w:ascii="Garamond" w:hAnsi="Garamond" w:cs="Garamond" w:eastAsia="Garamond"/>
          <w:sz w:val="24"/>
          <w:szCs w:val="24"/>
        </w:rPr>
        <w:t xml:space="preserve"> </w:t>
      </w:r>
      <w:r>
        <w:rPr>
          <w:rFonts w:eastAsia="MingLiU;細明體" w:cs="Garamond" w:ascii="Garamond" w:hAnsi="Garamond"/>
          <w:sz w:val="24"/>
          <w:szCs w:val="24"/>
        </w:rPr>
        <w:t>(Кобо-дайси</w:t>
      </w:r>
      <w:r>
        <w:rPr>
          <w:rFonts w:ascii="Garamond" w:hAnsi="Garamond" w:cs="Garamond" w:eastAsia="MingLiU;細明體"/>
          <w:sz w:val="24"/>
          <w:szCs w:val="24"/>
        </w:rPr>
        <w:t>弘法大師</w:t>
      </w:r>
      <w:r>
        <w:rPr>
          <w:rFonts w:ascii="Garamond" w:hAnsi="Garamond" w:cs="Garamond" w:eastAsia="Garamond"/>
          <w:sz w:val="24"/>
          <w:szCs w:val="24"/>
        </w:rPr>
        <w:t xml:space="preserve"> </w:t>
      </w:r>
      <w:r>
        <w:rPr>
          <w:rFonts w:eastAsia="MingLiU;細明體" w:cs="Garamond" w:ascii="Garamond" w:hAnsi="Garamond"/>
          <w:sz w:val="24"/>
          <w:szCs w:val="24"/>
        </w:rPr>
        <w:t>774–835), который обучался доктринам Ваджраяны в Китае и привез в Японии переводы «Махавайрочаны-сутры» и комментарии к ней, сделанные Амогхаваджрой, а также переводы выше упомянутой «Дхаранисаммукья». Поскольку во многих этих текстах о Ганеше говорилось как о божестве, пребывающем в союзе с Винаякой-Авалокитешварой, то это привело к тому, что в Японии появились как одиночные изображения Ганеши (Сётэн, Бинаякатэн, Ганабати), так и парные изображения Сосин Кангитэн и даже тройные — в виде божества Матарадзин, о чем будет сказано ниже.</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end="-31" w:firstLine="720"/>
        <w:jc w:val="both"/>
        <w:rPr>
          <w:rFonts w:ascii="Garamond" w:hAnsi="Garamond" w:eastAsia="MingLiU;細明體" w:cs="Garamond"/>
          <w:b/>
          <w:b/>
          <w:bCs/>
          <w:smallCaps/>
          <w:sz w:val="24"/>
          <w:szCs w:val="24"/>
        </w:rPr>
      </w:pPr>
      <w:r>
        <w:rPr>
          <w:rFonts w:eastAsia="MingLiU;細明體" w:cs="Garamond" w:ascii="Garamond" w:hAnsi="Garamond"/>
          <w:b/>
          <w:bCs/>
          <w:smallCaps/>
          <w:sz w:val="24"/>
          <w:szCs w:val="24"/>
        </w:rPr>
        <w:t>Культ Ганеши в Японии</w:t>
      </w:r>
    </w:p>
    <w:p>
      <w:pPr>
        <w:pStyle w:val="Normal"/>
        <w:ind w:end="-31" w:firstLine="720"/>
        <w:jc w:val="both"/>
        <w:rPr>
          <w:rFonts w:ascii="Garamond" w:hAnsi="Garamond" w:eastAsia="MingLiU;細明體" w:cs="Garamond"/>
          <w:b/>
          <w:b/>
          <w:bCs/>
          <w:smallCaps/>
          <w:sz w:val="8"/>
          <w:szCs w:val="8"/>
        </w:rPr>
      </w:pPr>
      <w:r>
        <w:rPr>
          <w:rFonts w:eastAsia="MingLiU;細明體" w:cs="Garamond" w:ascii="Garamond" w:hAnsi="Garamond"/>
          <w:b/>
          <w:bCs/>
          <w:smallCaps/>
          <w:sz w:val="8"/>
          <w:szCs w:val="8"/>
        </w:rPr>
      </w:r>
    </w:p>
    <w:p>
      <w:pPr>
        <w:pStyle w:val="Normal"/>
        <w:tabs>
          <w:tab w:val="left" w:pos="9000" w:leader="none"/>
          <w:tab w:val="left" w:pos="9180" w:leader="none"/>
          <w:tab w:val="left" w:pos="9355" w:leader="none"/>
        </w:tabs>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Для того чтобы лучше понять некоторые нюансы культа Ганеши в Японии, следует вкратце рассказать об основных аспектах религиозно-философских доктрин Сингон. Основным объектом поклонения в этой школе является Будда Махавайрочана (или Татхагата Махавайрочана) (яп. Дайнити Нёрай; </w:t>
      </w:r>
      <w:r>
        <w:rPr>
          <w:rFonts w:ascii="Garamond" w:hAnsi="Garamond" w:cs="Garamond" w:eastAsia="MingLiU;細明體"/>
          <w:sz w:val="24"/>
          <w:szCs w:val="24"/>
          <w:lang w:eastAsia="ja-JP"/>
        </w:rPr>
        <w:t>大日如来</w:t>
      </w:r>
      <w:r>
        <w:rPr>
          <w:rFonts w:eastAsia="MingLiU;細明體" w:cs="Garamond" w:ascii="Garamond" w:hAnsi="Garamond"/>
          <w:sz w:val="24"/>
          <w:szCs w:val="24"/>
        </w:rPr>
        <w:t xml:space="preserve">). Это изначальный источник всей вселенной и населяющих ее существ, в теле которого исчезает дуализм феноменального и абсолютного миров. Т. е., весь мир со всеми населяющими его существами идентичен сущности Дайнити. Поэтому в свете Дайнити все, даже самые незначительные события наполнены буддийским смыслом. Двойственность окружающего мира и преодоление его изменчивости состраданием и мудростью Будды Вайрочаны находят свое наиболее яркое воплощение в </w:t>
      </w:r>
      <w:r>
        <w:rPr>
          <w:rFonts w:eastAsia="MingLiU;細明體" w:cs="Garamond" w:ascii="Garamond" w:hAnsi="Garamond"/>
          <w:i/>
          <w:iCs/>
          <w:sz w:val="24"/>
          <w:szCs w:val="24"/>
        </w:rPr>
        <w:t>мандалах</w:t>
      </w:r>
      <w:r>
        <w:rPr>
          <w:rFonts w:eastAsia="MingLiU;細明體" w:cs="Garamond" w:ascii="Garamond" w:hAnsi="Garamond"/>
          <w:sz w:val="24"/>
          <w:szCs w:val="24"/>
        </w:rPr>
        <w:t>.</w:t>
      </w:r>
    </w:p>
    <w:p>
      <w:pPr>
        <w:pStyle w:val="Normal"/>
        <w:tabs>
          <w:tab w:val="left" w:pos="9000" w:leader="none"/>
          <w:tab w:val="left" w:pos="9180" w:leader="none"/>
          <w:tab w:val="left" w:pos="9355" w:leader="none"/>
        </w:tabs>
        <w:ind w:end="-31" w:firstLine="720"/>
        <w:jc w:val="both"/>
        <w:rPr>
          <w:rFonts w:ascii="Garamond" w:hAnsi="Garamond" w:eastAsia="MingLiU;細明體" w:cs="Garamond"/>
          <w:sz w:val="24"/>
          <w:szCs w:val="24"/>
        </w:rPr>
      </w:pPr>
      <w:r>
        <w:rPr>
          <w:rFonts w:eastAsia="MingLiU;細明體" w:cs="Garamond" w:ascii="Garamond" w:hAnsi="Garamond"/>
          <w:i/>
          <w:iCs/>
          <w:sz w:val="24"/>
          <w:szCs w:val="24"/>
        </w:rPr>
        <w:t>Мандала</w:t>
      </w:r>
      <w:r>
        <w:rPr>
          <w:rFonts w:eastAsia="MingLiU;細明體" w:cs="Garamond" w:ascii="Garamond" w:hAnsi="Garamond"/>
          <w:sz w:val="24"/>
          <w:szCs w:val="24"/>
        </w:rPr>
        <w:t xml:space="preserve"> (букв. «круг») представляет собой схематическое изображение вселенной в картинах, фигурах, скульптурах </w:t>
      </w:r>
      <w:r>
        <w:rPr>
          <w:rFonts w:eastAsia="MingLiU;細明體" w:cs="Garamond" w:ascii="Garamond" w:hAnsi="Garamond"/>
          <w:i/>
          <w:iCs/>
          <w:sz w:val="24"/>
          <w:szCs w:val="24"/>
        </w:rPr>
        <w:t>(дзуэ мандара</w:t>
      </w:r>
      <w:r>
        <w:rPr>
          <w:rFonts w:eastAsia="MingLiU;細明體" w:cs="Garamond" w:ascii="Garamond" w:hAnsi="Garamond"/>
          <w:sz w:val="24"/>
          <w:szCs w:val="24"/>
        </w:rPr>
        <w:t xml:space="preserve">; </w:t>
      </w:r>
      <w:r>
        <w:rPr>
          <w:rFonts w:ascii="Garamond" w:hAnsi="Garamond" w:cs="Garamond" w:eastAsia="MingLiU;細明體"/>
          <w:sz w:val="24"/>
          <w:szCs w:val="24"/>
          <w:lang w:eastAsia="ja-JP"/>
        </w:rPr>
        <w:t>図絵曼荼羅</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в восприятии адепта </w:t>
      </w:r>
      <w:r>
        <w:rPr>
          <w:rFonts w:eastAsia="MingLiU;細明體" w:cs="Garamond" w:ascii="Garamond" w:hAnsi="Garamond"/>
          <w:i/>
          <w:iCs/>
          <w:sz w:val="24"/>
          <w:szCs w:val="24"/>
        </w:rPr>
        <w:t>(кансо мандара</w:t>
      </w:r>
      <w:r>
        <w:rPr>
          <w:rFonts w:eastAsia="MingLiU;細明體" w:cs="Garamond" w:ascii="Garamond" w:hAnsi="Garamond"/>
          <w:sz w:val="24"/>
          <w:szCs w:val="24"/>
        </w:rPr>
        <w:t xml:space="preserve">; </w:t>
      </w:r>
      <w:r>
        <w:rPr>
          <w:rFonts w:ascii="Garamond" w:hAnsi="Garamond" w:cs="Garamond" w:eastAsia="MingLiU;細明體"/>
          <w:sz w:val="24"/>
          <w:szCs w:val="24"/>
        </w:rPr>
        <w:t>感想曼荼羅</w:t>
      </w:r>
      <w:r>
        <w:rPr>
          <w:rFonts w:eastAsia="MingLiU;細明體" w:cs="Garamond" w:ascii="Garamond" w:hAnsi="Garamond"/>
          <w:sz w:val="24"/>
          <w:szCs w:val="24"/>
        </w:rPr>
        <w:t xml:space="preserve">) истинной реальности, предстающей просветленному сознанию </w:t>
      </w:r>
      <w:r>
        <w:rPr>
          <w:rFonts w:eastAsia="MingLiU;細明體" w:cs="Garamond" w:ascii="Garamond" w:hAnsi="Garamond"/>
          <w:i/>
          <w:iCs/>
          <w:sz w:val="24"/>
          <w:szCs w:val="24"/>
        </w:rPr>
        <w:t xml:space="preserve">(дзисё мандара; </w:t>
      </w:r>
      <w:r>
        <w:rPr>
          <w:rFonts w:ascii="Garamond" w:hAnsi="Garamond" w:cs="Garamond" w:eastAsia="MingLiU;細明體"/>
          <w:kern w:val="2"/>
          <w:sz w:val="24"/>
          <w:szCs w:val="24"/>
        </w:rPr>
        <w:t>自性曼荼羅</w:t>
      </w:r>
      <w:r>
        <w:rPr>
          <w:rFonts w:eastAsia="MingLiU;細明體" w:cs="Garamond" w:ascii="Garamond" w:hAnsi="Garamond"/>
          <w:kern w:val="2"/>
          <w:sz w:val="24"/>
          <w:szCs w:val="24"/>
        </w:rPr>
        <w:t>).</w:t>
      </w:r>
    </w:p>
    <w:p>
      <w:pPr>
        <w:pStyle w:val="Normal"/>
        <w:ind w:end="-31" w:firstLine="720"/>
        <w:jc w:val="both"/>
        <w:rPr/>
      </w:pPr>
      <w:r>
        <w:rPr>
          <w:rFonts w:eastAsia="MingLiU;細明體" w:cs="Garamond" w:ascii="Garamond" w:hAnsi="Garamond"/>
          <w:sz w:val="24"/>
          <w:szCs w:val="24"/>
        </w:rPr>
        <w:t xml:space="preserve">Согласно доктрине Сингон, уточняет А. Г. Фесюн, «Вселенная есть прежде всего Махамандала, и различные феноменальные существования могут рассматриваться как Будды, Бодхисаттвы, начала, божества, эманируемые изначальным телом Махавайрочаны… Махамандала — это гигантская окружность, модель Вселенной, символизирующая Махавайрочану, представляемого во всем его объеме» [Фесюн, 1999, с. 48–49]. Мандалы были обязательной принадлежностью всех ритуалов Сингон, а также использовались как объекты медитации. Считалось, что, созерцая изображение </w:t>
      </w:r>
      <w:r>
        <w:rPr>
          <w:rFonts w:eastAsia="MingLiU;細明體" w:cs="Garamond" w:ascii="Garamond" w:hAnsi="Garamond"/>
          <w:i/>
          <w:sz w:val="24"/>
          <w:szCs w:val="24"/>
        </w:rPr>
        <w:t>мандалы,</w:t>
      </w:r>
      <w:r>
        <w:rPr>
          <w:rFonts w:eastAsia="MingLiU;細明體" w:cs="Garamond" w:ascii="Garamond" w:hAnsi="Garamond"/>
          <w:sz w:val="24"/>
          <w:szCs w:val="24"/>
        </w:rPr>
        <w:t xml:space="preserve"> адепт соединяется с высшей космической истиной.</w:t>
      </w:r>
    </w:p>
    <w:p>
      <w:pPr>
        <w:pStyle w:val="Normal"/>
        <w:ind w:end="-31" w:firstLine="720"/>
        <w:jc w:val="both"/>
        <w:rPr/>
      </w:pPr>
      <w:r>
        <w:rPr>
          <w:rFonts w:eastAsia="MingLiU;細明體" w:cs="Garamond" w:ascii="Garamond" w:hAnsi="Garamond"/>
          <w:sz w:val="24"/>
          <w:szCs w:val="24"/>
        </w:rPr>
        <w:t xml:space="preserve">В школе Сингон использовались, главным образом, две мандалы: «Мандала Алмазного Мира» (санскр. Ваджрадхату мандала, яп. </w:t>
      </w:r>
      <w:r>
        <w:rPr>
          <w:rFonts w:eastAsia="MingLiU;細明體" w:cs="Garamond" w:ascii="Garamond" w:hAnsi="Garamond"/>
          <w:i/>
          <w:sz w:val="24"/>
          <w:szCs w:val="24"/>
        </w:rPr>
        <w:t xml:space="preserve">Конгокай мандара; </w:t>
      </w:r>
      <w:r>
        <w:rPr>
          <w:rFonts w:ascii="Garamond" w:hAnsi="Garamond" w:cs="Garamond" w:eastAsia="MingLiU;細明體"/>
          <w:sz w:val="24"/>
          <w:szCs w:val="24"/>
        </w:rPr>
        <w:t>金剛界曼荼羅</w:t>
      </w:r>
      <w:r>
        <w:rPr>
          <w:rFonts w:eastAsia="MingLiU;細明體" w:cs="Garamond" w:ascii="Garamond" w:hAnsi="Garamond"/>
          <w:sz w:val="24"/>
          <w:szCs w:val="24"/>
        </w:rPr>
        <w:t>) и «Мандала Чрева» (санскр. Гарбхадхату мандала, яп.</w:t>
      </w:r>
      <w:r>
        <w:rPr>
          <w:rFonts w:eastAsia="MingLiU;細明體" w:cs="Garamond" w:ascii="Garamond" w:hAnsi="Garamond"/>
          <w:i/>
          <w:sz w:val="24"/>
          <w:szCs w:val="24"/>
        </w:rPr>
        <w:t xml:space="preserve"> Тайдзокай мандара; </w:t>
      </w:r>
      <w:r>
        <w:rPr>
          <w:rFonts w:ascii="Garamond" w:hAnsi="Garamond" w:cs="Garamond" w:eastAsia="MingLiU;細明體"/>
          <w:sz w:val="24"/>
          <w:szCs w:val="24"/>
        </w:rPr>
        <w:t>胎蔵界曼荼羅</w:t>
      </w:r>
      <w:r>
        <w:rPr>
          <w:rFonts w:eastAsia="MingLiU;細明體" w:cs="Garamond" w:ascii="Garamond" w:hAnsi="Garamond"/>
          <w:sz w:val="24"/>
          <w:szCs w:val="24"/>
        </w:rPr>
        <w:t xml:space="preserve">). Первая символизирует вечный, стабильный, абсолютный аспект Вселенной; в центре ее изображается будда Махавайрочана в позе созерцания, восседающий на белом лотосе. Вторая мандала выражает другой аспект Вселенный — изменяющийся, динамический, феноменальный. Ее центром также является Будда Вайрочана, восседающий на красном восьмилепестковом лотосе. То есть, в обеих мандалах основным объектом почитания (яп. </w:t>
      </w:r>
      <w:r>
        <w:rPr>
          <w:rFonts w:eastAsia="MingLiU;細明體" w:cs="Garamond" w:ascii="Garamond" w:hAnsi="Garamond"/>
          <w:i/>
          <w:sz w:val="24"/>
          <w:szCs w:val="24"/>
        </w:rPr>
        <w:t>хондзон,</w:t>
      </w:r>
      <w:r>
        <w:rPr>
          <w:rFonts w:eastAsia="MingLiU;細明體" w:cs="Garamond" w:ascii="Garamond" w:hAnsi="Garamond"/>
          <w:sz w:val="24"/>
          <w:szCs w:val="24"/>
        </w:rPr>
        <w:t xml:space="preserve"> санскр. </w:t>
      </w:r>
      <w:r>
        <w:rPr>
          <w:rFonts w:eastAsia="MingLiU;細明體" w:cs="Garamond" w:ascii="Garamond" w:hAnsi="Garamond"/>
          <w:i/>
          <w:iCs/>
          <w:sz w:val="24"/>
          <w:szCs w:val="24"/>
        </w:rPr>
        <w:t>свадэва</w:t>
      </w:r>
      <w:r>
        <w:rPr>
          <w:rFonts w:eastAsia="MingLiU;細明體" w:cs="Garamond" w:ascii="Garamond" w:hAnsi="Garamond"/>
          <w:sz w:val="24"/>
          <w:szCs w:val="24"/>
        </w:rPr>
        <w:t xml:space="preserve">) является Будда Махавайрочана, представляющий все сущее и проявляющийся одновременно как в абсолютном, так и в феноменальном. Эти проявления Махавайрочаны могут воплощаться, соответственно, в отдельных буддах, бодхисатвах и божествах, которые также становились объектами почитания в школе Сингон. Поэтому в традиции этой школы создавались различные сутры с другого рода мандалами, где в качестве </w:t>
      </w:r>
      <w:r>
        <w:rPr>
          <w:rFonts w:eastAsia="MingLiU;細明體" w:cs="Garamond" w:ascii="Garamond" w:hAnsi="Garamond"/>
          <w:i/>
          <w:sz w:val="24"/>
          <w:szCs w:val="24"/>
        </w:rPr>
        <w:t>хондзон</w:t>
      </w:r>
      <w:r>
        <w:rPr>
          <w:rFonts w:eastAsia="MingLiU;細明體" w:cs="Garamond" w:ascii="Garamond" w:hAnsi="Garamond"/>
          <w:sz w:val="24"/>
          <w:szCs w:val="24"/>
        </w:rPr>
        <w:t xml:space="preserve"> представали «иные почитаемые» (</w:t>
      </w:r>
      <w:r>
        <w:rPr>
          <w:rFonts w:eastAsia="MingLiU;細明體" w:cs="Garamond" w:ascii="Garamond" w:hAnsi="Garamond"/>
          <w:i/>
          <w:sz w:val="24"/>
          <w:szCs w:val="24"/>
        </w:rPr>
        <w:t>бэссон</w:t>
      </w:r>
      <w:r>
        <w:rPr>
          <w:rFonts w:eastAsia="MingLiU;細明體" w:cs="Garamond" w:ascii="Garamond" w:hAnsi="Garamond"/>
          <w:sz w:val="24"/>
          <w:szCs w:val="24"/>
        </w:rPr>
        <w:t>) [</w:t>
      </w:r>
      <w:r>
        <w:rPr>
          <w:rFonts w:eastAsia="MingLiU;細明體" w:cs="Garamond" w:ascii="Garamond" w:hAnsi="Garamond"/>
          <w:iCs/>
          <w:sz w:val="24"/>
          <w:szCs w:val="24"/>
        </w:rPr>
        <w:t>Буддизм в Японии</w:t>
      </w:r>
      <w:r>
        <w:rPr>
          <w:rFonts w:eastAsia="MingLiU;細明體" w:cs="Garamond" w:ascii="Garamond" w:hAnsi="Garamond"/>
          <w:sz w:val="24"/>
          <w:szCs w:val="24"/>
        </w:rPr>
        <w:t>, 1993, с. 148].</w:t>
      </w:r>
    </w:p>
    <w:p>
      <w:pPr>
        <w:pStyle w:val="Normal"/>
        <w:ind w:end="-31" w:firstLine="720"/>
        <w:jc w:val="both"/>
        <w:rPr/>
      </w:pPr>
      <w:r>
        <w:rPr>
          <w:rFonts w:eastAsia="MingLiU;細明體" w:cs="Garamond" w:ascii="Garamond" w:hAnsi="Garamond"/>
          <w:sz w:val="24"/>
          <w:szCs w:val="24"/>
        </w:rPr>
        <w:t xml:space="preserve">К их разряду также относились индуистские божества, вошедшие в тантрический пантеон и известные в Японии как «двенадцать богов-дэвов» (яп. </w:t>
      </w:r>
      <w:r>
        <w:rPr>
          <w:rFonts w:eastAsia="MingLiU;細明體" w:cs="Garamond" w:ascii="Garamond" w:hAnsi="Garamond"/>
          <w:i/>
          <w:sz w:val="24"/>
          <w:szCs w:val="24"/>
        </w:rPr>
        <w:t>Дзюнитэн</w:t>
      </w:r>
      <w:r>
        <w:rPr>
          <w:rFonts w:eastAsia="MingLiU;細明體" w:cs="Garamond" w:ascii="Garamond" w:hAnsi="Garamond"/>
          <w:sz w:val="24"/>
          <w:szCs w:val="24"/>
        </w:rPr>
        <w:t xml:space="preserve">; </w:t>
      </w:r>
      <w:r>
        <w:rPr>
          <w:rFonts w:ascii="Garamond" w:hAnsi="Garamond" w:cs="Garamond" w:eastAsia="MingLiU;細明體"/>
          <w:sz w:val="24"/>
          <w:szCs w:val="24"/>
        </w:rPr>
        <w:t>十二天</w:t>
      </w:r>
      <w:r>
        <w:rPr>
          <w:rFonts w:eastAsia="MingLiU;細明體" w:cs="Garamond" w:ascii="Garamond" w:hAnsi="Garamond"/>
          <w:sz w:val="24"/>
          <w:szCs w:val="24"/>
        </w:rPr>
        <w:t>)</w:t>
      </w:r>
      <w:r>
        <w:rPr>
          <w:rFonts w:eastAsia="MingLiU;細明體" w:cs="Garamond" w:ascii="Garamond" w:hAnsi="Garamond"/>
          <w:sz w:val="24"/>
          <w:szCs w:val="24"/>
          <w:lang w:eastAsia="ja-JP"/>
        </w:rPr>
        <w:t xml:space="preserve"> </w:t>
      </w:r>
      <w:r>
        <w:rPr>
          <w:rFonts w:eastAsia="MingLiU;細明體" w:cs="Garamond" w:ascii="Garamond" w:hAnsi="Garamond"/>
          <w:sz w:val="24"/>
          <w:szCs w:val="24"/>
        </w:rPr>
        <w:t xml:space="preserve">и «Четыре Небесных Царя» (яп. </w:t>
      </w:r>
      <w:r>
        <w:rPr>
          <w:rFonts w:eastAsia="MingLiU;細明體" w:cs="Garamond" w:ascii="Garamond" w:hAnsi="Garamond"/>
          <w:i/>
          <w:sz w:val="24"/>
          <w:szCs w:val="24"/>
        </w:rPr>
        <w:t>Ситэннодзи</w:t>
      </w:r>
      <w:r>
        <w:rPr>
          <w:rFonts w:eastAsia="MingLiU;細明體" w:cs="Garamond" w:ascii="Garamond" w:hAnsi="Garamond"/>
          <w:sz w:val="24"/>
          <w:szCs w:val="24"/>
        </w:rPr>
        <w:t xml:space="preserve">; </w:t>
      </w:r>
      <w:r>
        <w:rPr>
          <w:rFonts w:ascii="Garamond" w:hAnsi="Garamond" w:cs="Garamond" w:eastAsia="MingLiU;細明體"/>
          <w:sz w:val="24"/>
          <w:szCs w:val="24"/>
        </w:rPr>
        <w:t>四天王</w:t>
      </w:r>
      <w:r>
        <w:rPr>
          <w:rFonts w:eastAsia="MingLiU;細明體" w:cs="Garamond" w:ascii="Garamond" w:hAnsi="Garamond"/>
          <w:sz w:val="24"/>
          <w:szCs w:val="24"/>
        </w:rPr>
        <w:t xml:space="preserve">). Согласно традиционной буддийской концепции «Трех тел Будды», считалось, что они обладают двумя разновидностями тел: «тела колеса, почитающего учение» (яп. </w:t>
      </w:r>
      <w:r>
        <w:rPr>
          <w:rFonts w:eastAsia="MingLiU;細明體" w:cs="Garamond" w:ascii="Garamond" w:hAnsi="Garamond"/>
          <w:i/>
          <w:sz w:val="24"/>
          <w:szCs w:val="24"/>
        </w:rPr>
        <w:t>кёрёрин син</w:t>
      </w:r>
      <w:r>
        <w:rPr>
          <w:rFonts w:eastAsia="MingLiU;細明體" w:cs="Garamond" w:ascii="Garamond" w:hAnsi="Garamond"/>
          <w:sz w:val="24"/>
          <w:szCs w:val="24"/>
        </w:rPr>
        <w:t xml:space="preserve">; </w:t>
      </w:r>
      <w:r>
        <w:rPr>
          <w:rFonts w:ascii="Garamond" w:hAnsi="Garamond" w:cs="Garamond" w:eastAsia="MingLiU;細明體"/>
          <w:sz w:val="24"/>
          <w:szCs w:val="24"/>
          <w:lang w:eastAsia="ja-JP"/>
        </w:rPr>
        <w:t>教令輪身</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и «тела уподобления» (яп. </w:t>
      </w:r>
      <w:r>
        <w:rPr>
          <w:rFonts w:eastAsia="MingLiU;細明體" w:cs="Garamond" w:ascii="Garamond" w:hAnsi="Garamond"/>
          <w:i/>
          <w:sz w:val="24"/>
          <w:szCs w:val="24"/>
        </w:rPr>
        <w:t>торудзин</w:t>
      </w:r>
      <w:r>
        <w:rPr>
          <w:rFonts w:eastAsia="MingLiU;細明體" w:cs="Garamond" w:ascii="Garamond" w:hAnsi="Garamond"/>
          <w:sz w:val="24"/>
          <w:szCs w:val="24"/>
        </w:rPr>
        <w:t>;</w:t>
      </w:r>
      <w:r>
        <w:rPr>
          <w:rFonts w:eastAsia="MingLiU;細明體" w:cs="Garamond" w:ascii="Garamond" w:hAnsi="Garamond"/>
          <w:sz w:val="24"/>
          <w:szCs w:val="24"/>
          <w:lang w:eastAsia="ja-JP"/>
        </w:rPr>
        <w:t xml:space="preserve"> </w:t>
      </w:r>
      <w:r>
        <w:rPr>
          <w:rFonts w:ascii="Garamond" w:hAnsi="Garamond" w:cs="Garamond" w:eastAsia="MingLiU;細明體"/>
          <w:sz w:val="24"/>
          <w:szCs w:val="24"/>
          <w:lang w:eastAsia="ja-JP"/>
        </w:rPr>
        <w:t>等琉身</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Если первые относились к разряду так называемых «царей мудрости» (яп. </w:t>
      </w:r>
      <w:r>
        <w:rPr>
          <w:rFonts w:eastAsia="MingLiU;細明體" w:cs="Garamond" w:ascii="Garamond" w:hAnsi="Garamond"/>
          <w:i/>
          <w:iCs/>
          <w:sz w:val="24"/>
          <w:szCs w:val="24"/>
        </w:rPr>
        <w:t>мёо</w:t>
      </w:r>
      <w:r>
        <w:rPr>
          <w:rFonts w:eastAsia="MingLiU;細明體" w:cs="Garamond" w:ascii="Garamond" w:hAnsi="Garamond"/>
          <w:sz w:val="24"/>
          <w:szCs w:val="24"/>
        </w:rPr>
        <w:t xml:space="preserve">; </w:t>
      </w:r>
      <w:r>
        <w:rPr>
          <w:rFonts w:ascii="Garamond" w:hAnsi="Garamond" w:cs="Garamond" w:eastAsia="MingLiU;細明體"/>
          <w:sz w:val="24"/>
          <w:szCs w:val="24"/>
        </w:rPr>
        <w:t>明王</w:t>
      </w:r>
      <w:r>
        <w:rPr>
          <w:rFonts w:eastAsia="MingLiU;細明體" w:cs="Garamond" w:ascii="Garamond" w:hAnsi="Garamond"/>
          <w:sz w:val="24"/>
          <w:szCs w:val="24"/>
        </w:rPr>
        <w:t>) то вторые, как считалось, обладали необузданной демонической силой. Поэтому в тексте «Кэйран сюёсю» (</w:t>
      </w:r>
      <w:r>
        <w:rPr>
          <w:rFonts w:eastAsia="MingLiU;細明體" w:cs="Garamond" w:ascii="Garamond" w:hAnsi="Garamond"/>
          <w:sz w:val="24"/>
          <w:szCs w:val="24"/>
          <w:lang w:val="en-US"/>
        </w:rPr>
        <w:t>XIV</w:t>
      </w:r>
      <w:r>
        <w:rPr>
          <w:rFonts w:eastAsia="MingLiU;細明體" w:cs="Garamond" w:ascii="Garamond" w:hAnsi="Garamond"/>
          <w:sz w:val="24"/>
          <w:szCs w:val="24"/>
        </w:rPr>
        <w:t> в.), составленному в школе Тэндай, сказано, что, с одной стороны, божества-дэвы также помогают обрести просветление, но, с другой, следует избегать божеств «в теле уподобления», к числу которых был отнесен и Ганеша, из-за их двойственной природы [</w:t>
      </w:r>
      <w:r>
        <w:rPr>
          <w:rFonts w:eastAsia="MingLiU;細明體" w:cs="Garamond" w:ascii="Garamond" w:hAnsi="Garamond"/>
          <w:sz w:val="24"/>
          <w:szCs w:val="24"/>
          <w:lang w:val="en-US"/>
        </w:rPr>
        <w:t>Faure</w:t>
      </w:r>
      <w:r>
        <w:rPr>
          <w:rFonts w:eastAsia="MingLiU;細明體" w:cs="Garamond" w:ascii="Garamond" w:hAnsi="Garamond"/>
          <w:sz w:val="24"/>
          <w:szCs w:val="24"/>
        </w:rPr>
        <w:t xml:space="preserve">, 2012, </w:t>
      </w:r>
      <w:r>
        <w:rPr>
          <w:rFonts w:eastAsia="MingLiU;細明體" w:cs="Garamond" w:ascii="Garamond" w:hAnsi="Garamond"/>
          <w:sz w:val="24"/>
          <w:szCs w:val="24"/>
          <w:lang w:val="en-US"/>
        </w:rPr>
        <w:t>p</w:t>
      </w:r>
      <w:r>
        <w:rPr>
          <w:rFonts w:eastAsia="MingLiU;細明體" w:cs="Garamond" w:ascii="Garamond" w:hAnsi="Garamond"/>
          <w:sz w:val="24"/>
          <w:szCs w:val="24"/>
        </w:rPr>
        <w:t>. 401].</w:t>
      </w:r>
    </w:p>
    <w:p>
      <w:pPr>
        <w:pStyle w:val="Normal"/>
        <w:ind w:end="-31" w:firstLine="720"/>
        <w:jc w:val="both"/>
        <w:rPr/>
      </w:pPr>
      <w:r>
        <w:rPr>
          <w:rFonts w:eastAsia="MingLiU;細明體" w:cs="Garamond" w:ascii="Garamond" w:hAnsi="Garamond"/>
          <w:sz w:val="24"/>
          <w:szCs w:val="24"/>
        </w:rPr>
        <w:t xml:space="preserve">Тем не менее именно благодаря своей двойственной природе указанные божества заняли прочное место как в японском эзотерическом буддизме, так и в народных синто-буддийских религиозных культах. Очевидно, по этой причине Ганеша был известен в Японии как в образе злого демона Винаяки, так и в образе милосердного божества Ганапати. О первом упоминается в тексте «Сибу бинаяка хо; </w:t>
      </w:r>
      <w:r>
        <w:rPr>
          <w:rFonts w:ascii="Garamond" w:hAnsi="Garamond" w:cs="Garamond" w:eastAsia="MingLiU;細明體"/>
          <w:sz w:val="24"/>
          <w:szCs w:val="24"/>
        </w:rPr>
        <w:t>四部毘那夜迦法</w:t>
      </w:r>
      <w:r>
        <w:rPr>
          <w:rFonts w:eastAsia="MingLiU;細明體" w:cs="Garamond" w:ascii="Garamond" w:hAnsi="Garamond"/>
          <w:sz w:val="24"/>
          <w:szCs w:val="24"/>
        </w:rPr>
        <w:t>», приписываемом тэндайскому монаху Аннэну (</w:t>
      </w:r>
      <w:r>
        <w:rPr>
          <w:rFonts w:ascii="Garamond" w:hAnsi="Garamond" w:cs="Garamond" w:eastAsia="MingLiU;細明體"/>
          <w:sz w:val="24"/>
          <w:szCs w:val="24"/>
        </w:rPr>
        <w:t>安然</w:t>
      </w:r>
      <w:r>
        <w:rPr>
          <w:rFonts w:eastAsia="MingLiU;細明體" w:cs="Garamond" w:ascii="Garamond" w:hAnsi="Garamond"/>
          <w:sz w:val="24"/>
          <w:szCs w:val="24"/>
        </w:rPr>
        <w:t>; 841–915). В нем рассказывается о строительстве монастыря Джетавана, которому препятствовал восьмиликий демон Нагё Тосадзин, или Винаяка Кодзин, также объявлявший себя братом Будды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24–30].</w:t>
      </w:r>
    </w:p>
    <w:p>
      <w:pPr>
        <w:pStyle w:val="Normal"/>
        <w:ind w:end="-31" w:firstLine="720"/>
        <w:jc w:val="both"/>
        <w:rPr/>
      </w:pPr>
      <w:r>
        <w:rPr>
          <w:rFonts w:eastAsia="MingLiU;細明體" w:cs="Garamond" w:ascii="Garamond" w:hAnsi="Garamond"/>
          <w:sz w:val="24"/>
          <w:szCs w:val="24"/>
        </w:rPr>
        <w:t>Возможно, поэтому в более поздних источниках, например, «Асабасё»                     (</w:t>
      </w:r>
      <w:r>
        <w:rPr>
          <w:rFonts w:ascii="Garamond" w:hAnsi="Garamond" w:cs="Garamond" w:eastAsia="MingLiU;細明體"/>
          <w:sz w:val="24"/>
          <w:szCs w:val="24"/>
        </w:rPr>
        <w:t>阿娑縛抄</w:t>
      </w:r>
      <w:r>
        <w:rPr>
          <w:rFonts w:eastAsia="MingLiU;細明體" w:cs="Garamond" w:ascii="Garamond" w:hAnsi="Garamond"/>
          <w:sz w:val="24"/>
          <w:szCs w:val="24"/>
        </w:rPr>
        <w:t xml:space="preserve">), составленном в </w:t>
      </w:r>
      <w:r>
        <w:rPr>
          <w:rFonts w:eastAsia="MingLiU;細明體" w:cs="Garamond" w:ascii="Garamond" w:hAnsi="Garamond"/>
          <w:sz w:val="24"/>
          <w:szCs w:val="24"/>
          <w:lang w:val="en-US"/>
        </w:rPr>
        <w:t>XIII</w:t>
      </w:r>
      <w:r>
        <w:rPr>
          <w:rFonts w:eastAsia="MingLiU;細明體" w:cs="Garamond" w:ascii="Garamond" w:hAnsi="Garamond"/>
          <w:sz w:val="24"/>
          <w:szCs w:val="24"/>
        </w:rPr>
        <w:t> в. тэндайским монахом Сётё (</w:t>
      </w:r>
      <w:r>
        <w:rPr>
          <w:rFonts w:ascii="Garamond" w:hAnsi="Garamond" w:cs="Garamond" w:eastAsia="MingLiU;細明體"/>
          <w:sz w:val="24"/>
          <w:szCs w:val="24"/>
        </w:rPr>
        <w:t>承澄</w:t>
      </w:r>
      <w:r>
        <w:rPr>
          <w:rFonts w:eastAsia="MingLiU;細明體" w:cs="Garamond" w:ascii="Garamond" w:hAnsi="Garamond"/>
          <w:sz w:val="24"/>
          <w:szCs w:val="24"/>
        </w:rPr>
        <w:t xml:space="preserve">; 1205–1282), Винаяка уже отождествлялся с так называемым «духом плаценты» (яп. </w:t>
      </w:r>
      <w:r>
        <w:rPr>
          <w:rFonts w:eastAsia="MingLiU;細明體" w:cs="Garamond" w:ascii="Garamond" w:hAnsi="Garamond"/>
          <w:i/>
          <w:sz w:val="24"/>
          <w:szCs w:val="24"/>
        </w:rPr>
        <w:t xml:space="preserve">эна-кодзин; </w:t>
      </w:r>
      <w:r>
        <w:rPr>
          <w:rFonts w:ascii="Garamond" w:hAnsi="Garamond" w:cs="Garamond" w:eastAsia="MingLiU;細明體"/>
          <w:sz w:val="24"/>
          <w:szCs w:val="24"/>
        </w:rPr>
        <w:t>胞衣荒神</w:t>
      </w:r>
      <w:r>
        <w:rPr>
          <w:rFonts w:eastAsia="MingLiU;細明體" w:cs="Garamond" w:ascii="Garamond" w:hAnsi="Garamond"/>
          <w:sz w:val="24"/>
          <w:szCs w:val="24"/>
        </w:rPr>
        <w:t>), охраняющем младенца в утробе; после рождения этот дух следует за человеком в течение всей жизни и в конце концов входит в сонм его предков. В другом тексте «Кодзин саймон» (</w:t>
      </w:r>
      <w:r>
        <w:rPr>
          <w:rFonts w:ascii="Garamond" w:hAnsi="Garamond" w:cs="Garamond" w:eastAsia="MingLiU;細明體"/>
          <w:sz w:val="24"/>
          <w:szCs w:val="24"/>
        </w:rPr>
        <w:t>荒神祭文</w:t>
      </w:r>
      <w:r>
        <w:rPr>
          <w:rFonts w:eastAsia="MingLiU;細明體" w:cs="Garamond" w:ascii="Garamond" w:hAnsi="Garamond"/>
          <w:sz w:val="24"/>
          <w:szCs w:val="24"/>
        </w:rPr>
        <w:t>) также цитируется легенда о строительстве монастыря Джетавана, где указывается, что Винаяка Кодзин является также божеством плаценты (</w:t>
      </w:r>
      <w:r>
        <w:rPr>
          <w:rFonts w:eastAsia="MingLiU;細明體" w:cs="Garamond" w:ascii="Garamond" w:hAnsi="Garamond"/>
          <w:i/>
          <w:sz w:val="24"/>
          <w:szCs w:val="24"/>
        </w:rPr>
        <w:t>энагами</w:t>
      </w:r>
      <w:r>
        <w:rPr>
          <w:rFonts w:eastAsia="MingLiU;細明體" w:cs="Garamond" w:ascii="Garamond" w:hAnsi="Garamond"/>
          <w:sz w:val="24"/>
          <w:szCs w:val="24"/>
        </w:rPr>
        <w:t xml:space="preserve">; </w:t>
      </w:r>
      <w:r>
        <w:rPr>
          <w:rFonts w:ascii="Garamond" w:hAnsi="Garamond" w:cs="Garamond" w:eastAsia="MingLiU;細明體"/>
          <w:sz w:val="24"/>
          <w:szCs w:val="24"/>
        </w:rPr>
        <w:t>胞衣神</w:t>
      </w:r>
      <w:r>
        <w:rPr>
          <w:rFonts w:eastAsia="MingLiU;細明體" w:cs="Garamond" w:ascii="Garamond" w:hAnsi="Garamond"/>
          <w:sz w:val="24"/>
          <w:szCs w:val="24"/>
        </w:rPr>
        <w:t>) божеством деторождения (</w:t>
      </w:r>
      <w:r>
        <w:rPr>
          <w:rFonts w:eastAsia="MingLiU;細明體" w:cs="Garamond" w:ascii="Garamond" w:hAnsi="Garamond"/>
          <w:i/>
          <w:sz w:val="24"/>
          <w:szCs w:val="24"/>
        </w:rPr>
        <w:t>убугами</w:t>
      </w:r>
      <w:r>
        <w:rPr>
          <w:rFonts w:eastAsia="MingLiU;細明體" w:cs="Garamond" w:ascii="Garamond" w:hAnsi="Garamond"/>
          <w:sz w:val="24"/>
          <w:szCs w:val="24"/>
        </w:rPr>
        <w:t xml:space="preserve">; </w:t>
      </w:r>
      <w:r>
        <w:rPr>
          <w:rFonts w:ascii="Garamond" w:hAnsi="Garamond" w:cs="Garamond" w:eastAsia="MingLiU;細明體"/>
          <w:sz w:val="24"/>
          <w:szCs w:val="24"/>
        </w:rPr>
        <w:t>産神</w:t>
      </w:r>
      <w:r>
        <w:rPr>
          <w:rFonts w:eastAsia="MingLiU;細明體" w:cs="Garamond" w:ascii="Garamond" w:hAnsi="Garamond"/>
          <w:sz w:val="24"/>
          <w:szCs w:val="24"/>
        </w:rPr>
        <w:t>) и божеством Земли.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24–30].</w:t>
      </w:r>
    </w:p>
    <w:p>
      <w:pPr>
        <w:pStyle w:val="Normal"/>
        <w:ind w:end="-31" w:firstLine="720"/>
        <w:jc w:val="both"/>
        <w:rPr/>
      </w:pPr>
      <w:r>
        <w:rPr>
          <w:rFonts w:eastAsia="MingLiU;細明體" w:cs="Garamond" w:ascii="Garamond" w:hAnsi="Garamond"/>
          <w:sz w:val="24"/>
          <w:szCs w:val="24"/>
        </w:rPr>
        <w:t xml:space="preserve">Вторая ипостась Ганеши — Ганапати широко использовалась в эзотерических ритуалах школы Ваджраяны Сингон. Его изображения встречаются на двух самых почитаемых мандалах этой школы — </w:t>
      </w:r>
      <w:r>
        <w:rPr>
          <w:rFonts w:eastAsia="MingLiU;細明體" w:cs="Garamond" w:ascii="Garamond" w:hAnsi="Garamond"/>
          <w:i/>
          <w:sz w:val="24"/>
          <w:szCs w:val="24"/>
        </w:rPr>
        <w:t xml:space="preserve">Тайдзокай мандара </w:t>
      </w:r>
      <w:r>
        <w:rPr>
          <w:rFonts w:eastAsia="MingLiU;細明體" w:cs="Garamond" w:ascii="Garamond" w:hAnsi="Garamond"/>
          <w:sz w:val="24"/>
          <w:szCs w:val="24"/>
        </w:rPr>
        <w:t xml:space="preserve">и </w:t>
      </w:r>
      <w:r>
        <w:rPr>
          <w:rFonts w:eastAsia="MingLiU;細明體" w:cs="Garamond" w:ascii="Garamond" w:hAnsi="Garamond"/>
          <w:i/>
          <w:sz w:val="24"/>
          <w:szCs w:val="24"/>
        </w:rPr>
        <w:t>Конгокай мандара</w:t>
      </w:r>
      <w:r>
        <w:rPr>
          <w:rFonts w:eastAsia="MingLiU;細明體" w:cs="Garamond" w:ascii="Garamond" w:hAnsi="Garamond"/>
          <w:sz w:val="24"/>
          <w:szCs w:val="24"/>
        </w:rPr>
        <w:t>. Примечательно, что среди атрибутов устраняющего препятствия Ганапати он держит редис-дайкон, который в Японии считался символом плодородия и процветания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22–23].</w:t>
      </w:r>
    </w:p>
    <w:p>
      <w:pPr>
        <w:pStyle w:val="Normal"/>
        <w:ind w:end="-31" w:firstLine="720"/>
        <w:jc w:val="both"/>
        <w:rPr/>
      </w:pPr>
      <w:r>
        <w:rPr>
          <w:rFonts w:eastAsia="MingLiU;細明體" w:cs="Garamond" w:ascii="Garamond" w:hAnsi="Garamond"/>
          <w:sz w:val="24"/>
          <w:szCs w:val="24"/>
        </w:rPr>
        <w:t xml:space="preserve">С конца </w:t>
      </w:r>
      <w:r>
        <w:rPr>
          <w:rFonts w:eastAsia="MingLiU;細明體" w:cs="Garamond" w:ascii="Garamond" w:hAnsi="Garamond"/>
          <w:sz w:val="24"/>
          <w:szCs w:val="24"/>
          <w:lang w:val="en-US"/>
        </w:rPr>
        <w:t>XII</w:t>
      </w:r>
      <w:r>
        <w:rPr>
          <w:rFonts w:eastAsia="MingLiU;細明體" w:cs="Garamond" w:ascii="Garamond" w:hAnsi="Garamond"/>
          <w:sz w:val="24"/>
          <w:szCs w:val="24"/>
        </w:rPr>
        <w:t xml:space="preserve"> – начала </w:t>
      </w:r>
      <w:r>
        <w:rPr>
          <w:rFonts w:eastAsia="MingLiU;細明體" w:cs="Garamond" w:ascii="Garamond" w:hAnsi="Garamond"/>
          <w:sz w:val="24"/>
          <w:szCs w:val="24"/>
          <w:lang w:val="en-US"/>
        </w:rPr>
        <w:t>XIII</w:t>
      </w:r>
      <w:r>
        <w:rPr>
          <w:rFonts w:eastAsia="MingLiU;細明體" w:cs="Garamond" w:ascii="Garamond" w:hAnsi="Garamond"/>
          <w:sz w:val="24"/>
          <w:szCs w:val="24"/>
        </w:rPr>
        <w:t> в. появляются новые упоминания о Ганеше как о составной части божества Матарадзин (</w:t>
      </w:r>
      <w:r>
        <w:rPr>
          <w:rFonts w:ascii="Garamond" w:hAnsi="Garamond" w:cs="Garamond" w:eastAsia="MingLiU;細明體"/>
          <w:sz w:val="24"/>
          <w:szCs w:val="24"/>
        </w:rPr>
        <w:t>摩多羅神</w:t>
      </w:r>
      <w:r>
        <w:rPr>
          <w:rFonts w:eastAsia="MingLiU;細明體" w:cs="Garamond" w:ascii="Garamond" w:hAnsi="Garamond"/>
          <w:sz w:val="24"/>
          <w:szCs w:val="24"/>
        </w:rPr>
        <w:t xml:space="preserve">) с тремя головами и шестью руками. Впервые божество упоминается в тексте «Гёки» ( </w:t>
      </w:r>
      <w:r>
        <w:rPr>
          <w:rFonts w:ascii="Garamond" w:hAnsi="Garamond" w:cs="Garamond" w:eastAsia="MingLiU;細明體"/>
          <w:sz w:val="24"/>
          <w:szCs w:val="24"/>
        </w:rPr>
        <w:t>御記</w:t>
      </w:r>
      <w:r>
        <w:rPr>
          <w:rFonts w:eastAsia="MingLiU;細明體" w:cs="Garamond" w:ascii="Garamond" w:hAnsi="Garamond"/>
          <w:sz w:val="24"/>
          <w:szCs w:val="24"/>
        </w:rPr>
        <w:t>), составленном между 1150 и 1202 гг. В нем упоминается некое божество-охранитель храма Тодзи — якша по имени Матарадзин. Это божество, говорится в тексте, совмещает в себе красную богиню Бэндзайтэн (</w:t>
      </w:r>
      <w:r>
        <w:rPr>
          <w:rFonts w:ascii="Garamond" w:hAnsi="Garamond" w:cs="Garamond" w:eastAsia="MingLiU;細明體"/>
          <w:sz w:val="24"/>
          <w:szCs w:val="24"/>
        </w:rPr>
        <w:t>弁才天</w:t>
      </w:r>
      <w:r>
        <w:rPr>
          <w:rFonts w:eastAsia="MingLiU;細明體" w:cs="Garamond" w:ascii="Garamond" w:hAnsi="Garamond"/>
          <w:sz w:val="24"/>
          <w:szCs w:val="24"/>
        </w:rPr>
        <w:t>; Сарасвати), белую богиню Дакинитэн (</w:t>
      </w:r>
      <w:r>
        <w:rPr>
          <w:rFonts w:ascii="Garamond" w:hAnsi="Garamond" w:cs="Garamond" w:eastAsia="MingLiU;細明體"/>
          <w:sz w:val="24"/>
          <w:szCs w:val="24"/>
        </w:rPr>
        <w:t>枳尼天</w:t>
      </w:r>
      <w:r>
        <w:rPr>
          <w:rFonts w:eastAsia="MingLiU;細明體" w:cs="Garamond" w:ascii="Garamond" w:hAnsi="Garamond"/>
          <w:sz w:val="24"/>
          <w:szCs w:val="24"/>
        </w:rPr>
        <w:t>; Дакини) и золотое божество Сётэн (</w:t>
      </w:r>
      <w:r>
        <w:rPr>
          <w:rFonts w:ascii="Garamond" w:hAnsi="Garamond" w:cs="Garamond" w:eastAsia="MingLiU;細明體"/>
          <w:sz w:val="24"/>
          <w:szCs w:val="24"/>
        </w:rPr>
        <w:t>聖天</w:t>
      </w:r>
      <w:r>
        <w:rPr>
          <w:rFonts w:eastAsia="MingLiU;細明體" w:cs="Garamond" w:ascii="Garamond" w:hAnsi="Garamond"/>
          <w:sz w:val="24"/>
          <w:szCs w:val="24"/>
        </w:rPr>
        <w:t>; Ганеша). Красный цвет символизирует менструальную кровь матери, белый — сперму отца, а золотой — сам эмбрион, в качестве которого выступает Ганеша. Возможно, по этой причине известный патриарх школы Сингон Какубан (</w:t>
      </w:r>
      <w:r>
        <w:rPr>
          <w:rFonts w:ascii="Garamond" w:hAnsi="Garamond" w:cs="Garamond" w:eastAsia="MingLiU;細明體"/>
          <w:sz w:val="24"/>
          <w:szCs w:val="24"/>
        </w:rPr>
        <w:t>覚</w:t>
      </w:r>
      <w:r>
        <w:rPr>
          <w:rFonts w:ascii="Garamond" w:hAnsi="Garamond" w:cs="Garamond" w:eastAsia="Arial Unicode MS"/>
        </w:rPr>
        <w:t>鑁</w:t>
      </w:r>
      <w:r>
        <w:rPr>
          <w:rFonts w:eastAsia="MingLiU;細明體" w:cs="Garamond" w:ascii="Garamond" w:hAnsi="Garamond"/>
          <w:sz w:val="24"/>
          <w:szCs w:val="24"/>
        </w:rPr>
        <w:t>; 1095–1143) в трактате «Кангитэн косики» (</w:t>
      </w:r>
      <w:r>
        <w:rPr>
          <w:rFonts w:ascii="Garamond" w:hAnsi="Garamond" w:cs="Garamond" w:eastAsia="MingLiU;細明體"/>
          <w:sz w:val="24"/>
          <w:szCs w:val="24"/>
        </w:rPr>
        <w:t>歓喜天講式</w:t>
      </w:r>
      <w:r>
        <w:rPr>
          <w:rFonts w:eastAsia="MingLiU;細明體" w:cs="Garamond" w:ascii="Garamond" w:hAnsi="Garamond"/>
          <w:sz w:val="24"/>
          <w:szCs w:val="24"/>
        </w:rPr>
        <w:t xml:space="preserve">) утверждал, что Сётэн воплощает в себе женское и мужское начала </w:t>
      </w:r>
      <w:r>
        <w:rPr>
          <w:rFonts w:eastAsia="MingLiU;細明體" w:cs="Garamond" w:ascii="Garamond" w:hAnsi="Garamond"/>
          <w:i/>
          <w:sz w:val="24"/>
          <w:szCs w:val="24"/>
        </w:rPr>
        <w:t>инь</w:t>
      </w:r>
      <w:r>
        <w:rPr>
          <w:rFonts w:eastAsia="MingLiU;細明體" w:cs="Garamond" w:ascii="Garamond" w:hAnsi="Garamond"/>
          <w:sz w:val="24"/>
          <w:szCs w:val="24"/>
        </w:rPr>
        <w:t xml:space="preserve"> и </w:t>
      </w:r>
      <w:r>
        <w:rPr>
          <w:rFonts w:eastAsia="MingLiU;細明體" w:cs="Garamond" w:ascii="Garamond" w:hAnsi="Garamond"/>
          <w:i/>
          <w:sz w:val="24"/>
          <w:szCs w:val="24"/>
        </w:rPr>
        <w:t>ян</w:t>
      </w:r>
      <w:r>
        <w:rPr>
          <w:rFonts w:eastAsia="MingLiU;細明體" w:cs="Garamond" w:ascii="Garamond" w:hAnsi="Garamond"/>
          <w:sz w:val="24"/>
          <w:szCs w:val="24"/>
        </w:rPr>
        <w:t xml:space="preserve"> и является источником всего живого. Позднее это божество стало известно под именем Сантэн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31–32].</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Об эзотерическом характере этого божества говорит тот факт, что ему была посвящена отдельная мандала — Касуга дакинитэн мандара, которой поклонялись в школах Сингон и Тэндай и даже в некоторых синтоистских святилищах, например, Инарияма в Киото. Изначально эта мандала была связана с синтоистским святилищем Касуга в Нара, поэтому в ее верхней части изображен олень — посланец божества Касуга. В центре этой мандалы изображен Сантэн — основное почитаемое божество (</w:t>
      </w:r>
      <w:r>
        <w:rPr>
          <w:rFonts w:eastAsia="MingLiU;細明體" w:cs="Garamond" w:ascii="Garamond" w:hAnsi="Garamond"/>
          <w:i/>
          <w:sz w:val="24"/>
          <w:szCs w:val="24"/>
        </w:rPr>
        <w:t xml:space="preserve">хондзон; </w:t>
      </w:r>
      <w:r>
        <w:rPr>
          <w:rFonts w:ascii="Garamond" w:hAnsi="Garamond" w:cs="Garamond" w:eastAsia="MingLiU;細明體"/>
          <w:sz w:val="24"/>
          <w:szCs w:val="24"/>
          <w:lang w:eastAsia="ja-JP"/>
        </w:rPr>
        <w:t>本尊</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с тремя головами, верхом на белой лисе. Его окружают божества, также принадлежащие к тантрическому пантеону. Над Сантэном изображены богини Кисимодзин (</w:t>
      </w:r>
      <w:r>
        <w:rPr>
          <w:rFonts w:ascii="Garamond" w:hAnsi="Garamond" w:cs="Garamond" w:eastAsia="MingLiU;細明體"/>
          <w:sz w:val="24"/>
          <w:szCs w:val="24"/>
          <w:lang w:eastAsia="ja-JP"/>
        </w:rPr>
        <w:t>鬼子母神</w:t>
      </w:r>
      <w:r>
        <w:rPr>
          <w:rFonts w:eastAsia="MingLiU;細明體" w:cs="Garamond" w:ascii="Garamond" w:hAnsi="Garamond"/>
          <w:sz w:val="24"/>
          <w:szCs w:val="24"/>
        </w:rPr>
        <w:t>; санскр. Харити) и Китидзётэн (</w:t>
      </w:r>
      <w:r>
        <w:rPr>
          <w:rFonts w:ascii="Garamond" w:hAnsi="Garamond" w:cs="Garamond" w:eastAsia="MingLiU;細明體"/>
          <w:sz w:val="24"/>
          <w:szCs w:val="24"/>
        </w:rPr>
        <w:t>吉祥店</w:t>
      </w:r>
      <w:r>
        <w:rPr>
          <w:rFonts w:eastAsia="MingLiU;細明體" w:cs="Garamond" w:ascii="Garamond" w:hAnsi="Garamond"/>
          <w:sz w:val="24"/>
          <w:szCs w:val="24"/>
        </w:rPr>
        <w:t>; санскр. Лакшми). Ниже расположено шестирукое божество Айдзэн-мёо (</w:t>
      </w:r>
      <w:r>
        <w:rPr>
          <w:rFonts w:ascii="Garamond" w:hAnsi="Garamond" w:cs="Garamond" w:eastAsia="MingLiU;細明體"/>
          <w:sz w:val="24"/>
          <w:szCs w:val="24"/>
        </w:rPr>
        <w:t>愛染明王</w:t>
      </w:r>
      <w:r>
        <w:rPr>
          <w:rFonts w:eastAsia="MingLiU;細明體" w:cs="Garamond" w:ascii="Garamond" w:hAnsi="Garamond"/>
          <w:sz w:val="24"/>
          <w:szCs w:val="24"/>
        </w:rPr>
        <w:t>; санскр. Рагараджа). В правой части картины находится четырехрукий Шива-Махакала, держащий в двух верхних руках шкуру слона, а в двух нижних — тела человека и козла. Непосредственно под Матарадзин изображены Сосин Кангитэн (</w:t>
      </w:r>
      <w:r>
        <w:rPr>
          <w:rFonts w:ascii="Garamond" w:hAnsi="Garamond" w:cs="Garamond" w:eastAsia="MingLiU;細明體"/>
          <w:sz w:val="24"/>
          <w:szCs w:val="24"/>
        </w:rPr>
        <w:t>雙身歡喜天</w:t>
      </w:r>
      <w:r>
        <w:rPr>
          <w:rFonts w:eastAsia="MingLiU;細明體" w:cs="Garamond" w:ascii="Garamond" w:hAnsi="Garamond"/>
          <w:sz w:val="24"/>
          <w:szCs w:val="24"/>
        </w:rPr>
        <w:t>)— мужское и женское божества с головами слонов, обнимающие друг друга [</w:t>
      </w:r>
      <w:r>
        <w:rPr>
          <w:rFonts w:eastAsia="MingLiU;細明體" w:cs="Garamond" w:ascii="Garamond" w:hAnsi="Garamond"/>
          <w:sz w:val="24"/>
          <w:szCs w:val="24"/>
          <w:lang w:val="en-US"/>
        </w:rPr>
        <w:t>Faure</w:t>
      </w:r>
      <w:r>
        <w:rPr>
          <w:rFonts w:eastAsia="MingLiU;細明體" w:cs="Garamond" w:ascii="Garamond" w:hAnsi="Garamond"/>
          <w:sz w:val="24"/>
          <w:szCs w:val="24"/>
        </w:rPr>
        <w:t xml:space="preserve">, 2012, </w:t>
      </w:r>
      <w:r>
        <w:rPr>
          <w:rFonts w:eastAsia="MingLiU;細明體" w:cs="Garamond" w:ascii="Garamond" w:hAnsi="Garamond"/>
          <w:sz w:val="24"/>
          <w:szCs w:val="24"/>
          <w:lang w:val="en-US"/>
        </w:rPr>
        <w:t>p</w:t>
      </w:r>
      <w:r>
        <w:rPr>
          <w:rFonts w:eastAsia="MingLiU;細明體" w:cs="Garamond" w:ascii="Garamond" w:hAnsi="Garamond"/>
          <w:sz w:val="24"/>
          <w:szCs w:val="24"/>
        </w:rPr>
        <w:t>. 400] (</w:t>
      </w:r>
      <w:r>
        <w:rPr>
          <w:rFonts w:eastAsia="MingLiU;細明體" w:cs="Garamond" w:ascii="Garamond" w:hAnsi="Garamond"/>
          <w:i/>
          <w:sz w:val="24"/>
          <w:szCs w:val="24"/>
        </w:rPr>
        <w:t>илл. 5</w:t>
      </w:r>
      <w:r>
        <w:rPr>
          <w:rFonts w:eastAsia="MingLiU;細明體" w:cs="Garamond" w:ascii="Garamond" w:hAnsi="Garamond"/>
          <w:sz w:val="24"/>
          <w:szCs w:val="24"/>
        </w:rPr>
        <w:t>).</w:t>
      </w:r>
      <w:r>
        <mc:AlternateContent>
          <mc:Choice Requires="wps">
            <w:drawing>
              <wp:anchor behindDoc="0" distT="0" distB="0" distL="114300" distR="0" simplePos="0" locked="0" layoutInCell="1" allowOverlap="1" relativeHeight="10">
                <wp:simplePos x="0" y="0"/>
                <wp:positionH relativeFrom="margin">
                  <wp:align>right</wp:align>
                </wp:positionH>
                <wp:positionV relativeFrom="paragraph">
                  <wp:posOffset>941705</wp:posOffset>
                </wp:positionV>
                <wp:extent cx="2011680" cy="4155440"/>
                <wp:effectExtent l="0" t="0" r="0" b="0"/>
                <wp:wrapSquare wrapText="bothSides"/>
                <wp:docPr id="14" name="Врезка5"/>
                <a:graphic xmlns:a="http://schemas.openxmlformats.org/drawingml/2006/main">
                  <a:graphicData uri="http://schemas.microsoft.com/office/word/2010/wordprocessingShape">
                    <wps:wsp>
                      <wps:cNvSpPr txBox="1"/>
                      <wps:spPr>
                        <a:xfrm>
                          <a:off x="0" y="0"/>
                          <a:ext cx="2011680" cy="4155440"/>
                        </a:xfrm>
                        <a:prstGeom prst="rect"/>
                        <a:solidFill>
                          <a:srgbClr val="FFFFFF">
                            <a:alpha val="0"/>
                          </a:srgbClr>
                        </a:solidFill>
                      </wps:spPr>
                      <wps:txbx>
                        <w:txbxContent>
                          <w:tbl>
                            <w:tblPr>
                              <w:tblW w:w="3168" w:type="dxa"/>
                              <w:jc w:val="start"/>
                              <w:tblInd w:w="0" w:type="dxa"/>
                              <w:tblBorders/>
                              <w:tblCellMar>
                                <w:top w:w="0" w:type="dxa"/>
                                <w:start w:w="108" w:type="dxa"/>
                                <w:bottom w:w="0" w:type="dxa"/>
                                <w:end w:w="108" w:type="dxa"/>
                              </w:tblCellMar>
                            </w:tblPr>
                            <w:tblGrid>
                              <w:gridCol w:w="3168"/>
                            </w:tblGrid>
                            <w:tr>
                              <w:trPr/>
                              <w:tc>
                                <w:tcPr>
                                  <w:tcW w:w="3168" w:type="dxa"/>
                                  <w:tcBorders/>
                                  <w:shd w:fill="auto" w:val="clear"/>
                                </w:tcPr>
                                <w:p>
                                  <w:pPr>
                                    <w:pStyle w:val="Normal"/>
                                    <w:ind w:end="-31" w:hanging="0"/>
                                    <w:jc w:val="end"/>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1895475" cy="2633345"/>
                                        <wp:effectExtent l="0" t="0" r="0" b="0"/>
                                        <wp:docPr id="1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descr="" title=""/>
                                                <pic:cNvPicPr>
                                                  <a:picLocks noChangeAspect="1" noChangeArrowheads="1"/>
                                                </pic:cNvPicPr>
                                              </pic:nvPicPr>
                                              <pic:blipFill>
                                                <a:blip r:embed="rId15"/>
                                                <a:srcRect l="-2" t="-2" r="-2" b="-2"/>
                                                <a:stretch>
                                                  <a:fillRect/>
                                                </a:stretch>
                                              </pic:blipFill>
                                              <pic:spPr bwMode="auto">
                                                <a:xfrm>
                                                  <a:off x="0" y="0"/>
                                                  <a:ext cx="1895475" cy="2633345"/>
                                                </a:xfrm>
                                                <a:prstGeom prst="rect">
                                                  <a:avLst/>
                                                </a:prstGeom>
                                              </pic:spPr>
                                            </pic:pic>
                                          </a:graphicData>
                                        </a:graphic>
                                      </wp:inline>
                                    </w:drawing>
                                  </w:r>
                                </w:p>
                                <w:p>
                                  <w:pPr>
                                    <w:pStyle w:val="Normal"/>
                                    <w:ind w:end="-31" w:hanging="0"/>
                                    <w:jc w:val="center"/>
                                    <w:rPr/>
                                  </w:pPr>
                                  <w:r>
                                    <w:rPr>
                                      <w:rFonts w:eastAsia="MingLiU;細明體" w:cs="Garamond" w:ascii="Garamond" w:hAnsi="Garamond"/>
                                      <w:i/>
                                      <w:sz w:val="22"/>
                                      <w:szCs w:val="22"/>
                                    </w:rPr>
                                    <w:t>Илл. 5</w:t>
                                  </w:r>
                                  <w:r>
                                    <w:rPr>
                                      <w:rFonts w:eastAsia="MingLiU;細明體" w:cs="Garamond" w:ascii="Garamond" w:hAnsi="Garamond"/>
                                      <w:sz w:val="22"/>
                                      <w:szCs w:val="22"/>
                                    </w:rPr>
                                    <w:t xml:space="preserve">. </w:t>
                                  </w:r>
                                  <w:r>
                                    <w:rPr>
                                      <w:rFonts w:cs="Garamond" w:ascii="Garamond" w:hAnsi="Garamond"/>
                                      <w:sz w:val="22"/>
                                      <w:szCs w:val="22"/>
                                    </w:rPr>
                                    <w:t xml:space="preserve">Сосин Кангитэн, </w:t>
                                  </w:r>
                                  <w:r>
                                    <w:rPr>
                                      <w:rFonts w:cs="Garamond" w:ascii="Garamond" w:hAnsi="Garamond"/>
                                      <w:sz w:val="22"/>
                                      <w:szCs w:val="22"/>
                                      <w:lang w:val="en-US"/>
                                    </w:rPr>
                                    <w:t>XIX</w:t>
                                  </w:r>
                                  <w:r>
                                    <w:rPr>
                                      <w:rFonts w:cs="Garamond" w:ascii="Garamond" w:hAnsi="Garamond"/>
                                      <w:sz w:val="22"/>
                                      <w:szCs w:val="22"/>
                                    </w:rPr>
                                    <w:t xml:space="preserve"> в., бронза</w:t>
                                  </w:r>
                                </w:p>
                                <w:p>
                                  <w:pPr>
                                    <w:pStyle w:val="Normal"/>
                                    <w:ind w:end="-31" w:hanging="0"/>
                                    <w:jc w:val="center"/>
                                    <w:rPr>
                                      <w:rFonts w:ascii="Garamond" w:hAnsi="Garamond" w:cs="Garamond"/>
                                      <w:sz w:val="22"/>
                                      <w:szCs w:val="22"/>
                                    </w:rPr>
                                  </w:pPr>
                                  <w:r>
                                    <w:rPr>
                                      <w:rFonts w:cs="Garamond" w:ascii="Garamond" w:hAnsi="Garamond"/>
                                      <w:sz w:val="22"/>
                                      <w:szCs w:val="22"/>
                                      <w:lang w:val="de-DE"/>
                                    </w:rPr>
                                    <w:t>(</w:t>
                                  </w:r>
                                  <w:r>
                                    <w:rPr>
                                      <w:rFonts w:eastAsia="MingLiU;細明體" w:cs="Garamond" w:ascii="Garamond" w:hAnsi="Garamond"/>
                                      <w:sz w:val="22"/>
                                      <w:szCs w:val="22"/>
                                      <w:lang w:val="de-DE"/>
                                    </w:rPr>
                                    <w:t xml:space="preserve">© </w:t>
                                  </w:r>
                                  <w:r>
                                    <w:rPr>
                                      <w:rFonts w:cs="Garamond" w:ascii="Garamond" w:hAnsi="Garamond"/>
                                      <w:sz w:val="22"/>
                                      <w:szCs w:val="22"/>
                                      <w:lang w:val="de-DE"/>
                                    </w:rPr>
                                    <w:t xml:space="preserve">Galerie Geluk, Amsterdam; </w:t>
                                  </w:r>
                                  <w:r>
                                    <w:rPr>
                                      <w:rFonts w:cs="Garamond" w:ascii="Garamond" w:hAnsi="Garamond"/>
                                      <w:sz w:val="22"/>
                                      <w:szCs w:val="22"/>
                                    </w:rPr>
                                    <w:t>по</w:t>
                                  </w:r>
                                  <w:r>
                                    <w:rPr>
                                      <w:rFonts w:cs="Garamond" w:ascii="Garamond" w:hAnsi="Garamond"/>
                                      <w:sz w:val="22"/>
                                      <w:szCs w:val="22"/>
                                      <w:lang w:val="de-DE"/>
                                    </w:rPr>
                                    <w:t xml:space="preserve">: </w:t>
                                  </w:r>
                                  <w:r>
                                    <w:rPr>
                                      <w:rFonts w:cs="Garamond" w:ascii="Garamond" w:hAnsi="Garamond"/>
                                      <w:i/>
                                      <w:sz w:val="22"/>
                                      <w:szCs w:val="22"/>
                                      <w:lang w:val="de-DE"/>
                                    </w:rPr>
                                    <w:t>Galerie Geluk</w:t>
                                  </w:r>
                                  <w:r>
                                    <w:rPr>
                                      <w:rFonts w:cs="Garamond" w:ascii="Garamond" w:hAnsi="Garamond"/>
                                      <w:sz w:val="22"/>
                                      <w:szCs w:val="22"/>
                                      <w:lang w:val="de-DE"/>
                                    </w:rPr>
                                    <w:t xml:space="preserve">. URL: </w:t>
                                  </w:r>
                                  <w:hyperlink r:id="rId16" w:tgtFrame="_blank">
                                    <w:r>
                                      <w:rPr>
                                        <w:rStyle w:val="Style15"/>
                                        <w:rFonts w:cs="Garamond" w:ascii="Garamond" w:hAnsi="Garamond"/>
                                        <w:color w:val="000000"/>
                                        <w:sz w:val="22"/>
                                        <w:szCs w:val="22"/>
                                        <w:u w:val="none"/>
                                        <w:lang w:val="de-DE"/>
                                      </w:rPr>
                                      <w:t>https://www.galeriegeluk.nl/japan?ep%5B27455927%5D%5Bpage%5D=1</w:t>
                                    </w:r>
                                  </w:hyperlink>
                                  <w:r>
                                    <w:rPr>
                                      <w:rFonts w:cs="Garamond" w:ascii="Garamond" w:hAnsi="Garamond"/>
                                      <w:sz w:val="22"/>
                                      <w:szCs w:val="22"/>
                                      <w:lang w:val="de-DE"/>
                                    </w:rPr>
                                    <w:t>)</w:t>
                                  </w:r>
                                </w:p>
                                <w:p>
                                  <w:pPr>
                                    <w:pStyle w:val="Normal"/>
                                    <w:ind w:end="-31" w:hanging="0"/>
                                    <w:jc w:val="center"/>
                                    <w:rPr>
                                      <w:rFonts w:ascii="Garamond" w:hAnsi="Garamond" w:eastAsia="MingLiU;細明體" w:cs="Garamond"/>
                                      <w:sz w:val="8"/>
                                      <w:szCs w:val="8"/>
                                    </w:rPr>
                                  </w:pPr>
                                  <w:r>
                                    <w:rPr>
                                      <w:rFonts w:eastAsia="MingLiU;細明體"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158.4pt;height:327.2pt;mso-wrap-distance-left:9pt;mso-wrap-distance-right:0pt;mso-wrap-distance-top:0pt;mso-wrap-distance-bottom:0pt;margin-top:74.15pt;mso-position-vertical-relative:text;margin-left:281.05pt;mso-position-horizontal:right;mso-position-horizontal-relative:margin">
                <v:fill opacity="0f"/>
                <v:textbox>
                  <w:txbxContent>
                    <w:tbl>
                      <w:tblPr>
                        <w:tblW w:w="3168" w:type="dxa"/>
                        <w:jc w:val="start"/>
                        <w:tblInd w:w="0" w:type="dxa"/>
                        <w:tblBorders/>
                        <w:tblCellMar>
                          <w:top w:w="0" w:type="dxa"/>
                          <w:start w:w="108" w:type="dxa"/>
                          <w:bottom w:w="0" w:type="dxa"/>
                          <w:end w:w="108" w:type="dxa"/>
                        </w:tblCellMar>
                      </w:tblPr>
                      <w:tblGrid>
                        <w:gridCol w:w="3168"/>
                      </w:tblGrid>
                      <w:tr>
                        <w:trPr/>
                        <w:tc>
                          <w:tcPr>
                            <w:tcW w:w="3168" w:type="dxa"/>
                            <w:tcBorders/>
                            <w:shd w:fill="auto" w:val="clear"/>
                          </w:tcPr>
                          <w:p>
                            <w:pPr>
                              <w:pStyle w:val="Normal"/>
                              <w:ind w:end="-31" w:hanging="0"/>
                              <w:jc w:val="end"/>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1895475" cy="2633345"/>
                                  <wp:effectExtent l="0" t="0" r="0" b="0"/>
                                  <wp:docPr id="16"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5" descr="" title=""/>
                                          <pic:cNvPicPr>
                                            <a:picLocks noChangeAspect="1" noChangeArrowheads="1"/>
                                          </pic:cNvPicPr>
                                        </pic:nvPicPr>
                                        <pic:blipFill>
                                          <a:blip r:embed="rId15"/>
                                          <a:srcRect l="-2" t="-2" r="-2" b="-2"/>
                                          <a:stretch>
                                            <a:fillRect/>
                                          </a:stretch>
                                        </pic:blipFill>
                                        <pic:spPr bwMode="auto">
                                          <a:xfrm>
                                            <a:off x="0" y="0"/>
                                            <a:ext cx="1895475" cy="2633345"/>
                                          </a:xfrm>
                                          <a:prstGeom prst="rect">
                                            <a:avLst/>
                                          </a:prstGeom>
                                        </pic:spPr>
                                      </pic:pic>
                                    </a:graphicData>
                                  </a:graphic>
                                </wp:inline>
                              </w:drawing>
                            </w:r>
                          </w:p>
                          <w:p>
                            <w:pPr>
                              <w:pStyle w:val="Normal"/>
                              <w:ind w:end="-31" w:hanging="0"/>
                              <w:jc w:val="center"/>
                              <w:rPr/>
                            </w:pPr>
                            <w:r>
                              <w:rPr>
                                <w:rFonts w:eastAsia="MingLiU;細明體" w:cs="Garamond" w:ascii="Garamond" w:hAnsi="Garamond"/>
                                <w:i/>
                                <w:sz w:val="22"/>
                                <w:szCs w:val="22"/>
                              </w:rPr>
                              <w:t>Илл. 5</w:t>
                            </w:r>
                            <w:r>
                              <w:rPr>
                                <w:rFonts w:eastAsia="MingLiU;細明體" w:cs="Garamond" w:ascii="Garamond" w:hAnsi="Garamond"/>
                                <w:sz w:val="22"/>
                                <w:szCs w:val="22"/>
                              </w:rPr>
                              <w:t xml:space="preserve">. </w:t>
                            </w:r>
                            <w:r>
                              <w:rPr>
                                <w:rFonts w:cs="Garamond" w:ascii="Garamond" w:hAnsi="Garamond"/>
                                <w:sz w:val="22"/>
                                <w:szCs w:val="22"/>
                              </w:rPr>
                              <w:t xml:space="preserve">Сосин Кангитэн, </w:t>
                            </w:r>
                            <w:r>
                              <w:rPr>
                                <w:rFonts w:cs="Garamond" w:ascii="Garamond" w:hAnsi="Garamond"/>
                                <w:sz w:val="22"/>
                                <w:szCs w:val="22"/>
                                <w:lang w:val="en-US"/>
                              </w:rPr>
                              <w:t>XIX</w:t>
                            </w:r>
                            <w:r>
                              <w:rPr>
                                <w:rFonts w:cs="Garamond" w:ascii="Garamond" w:hAnsi="Garamond"/>
                                <w:sz w:val="22"/>
                                <w:szCs w:val="22"/>
                              </w:rPr>
                              <w:t xml:space="preserve"> в., бронза</w:t>
                            </w:r>
                          </w:p>
                          <w:p>
                            <w:pPr>
                              <w:pStyle w:val="Normal"/>
                              <w:ind w:end="-31" w:hanging="0"/>
                              <w:jc w:val="center"/>
                              <w:rPr>
                                <w:rFonts w:ascii="Garamond" w:hAnsi="Garamond" w:cs="Garamond"/>
                                <w:sz w:val="22"/>
                                <w:szCs w:val="22"/>
                              </w:rPr>
                            </w:pPr>
                            <w:r>
                              <w:rPr>
                                <w:rFonts w:cs="Garamond" w:ascii="Garamond" w:hAnsi="Garamond"/>
                                <w:sz w:val="22"/>
                                <w:szCs w:val="22"/>
                                <w:lang w:val="de-DE"/>
                              </w:rPr>
                              <w:t>(</w:t>
                            </w:r>
                            <w:r>
                              <w:rPr>
                                <w:rFonts w:eastAsia="MingLiU;細明體" w:cs="Garamond" w:ascii="Garamond" w:hAnsi="Garamond"/>
                                <w:sz w:val="22"/>
                                <w:szCs w:val="22"/>
                                <w:lang w:val="de-DE"/>
                              </w:rPr>
                              <w:t xml:space="preserve">© </w:t>
                            </w:r>
                            <w:r>
                              <w:rPr>
                                <w:rFonts w:cs="Garamond" w:ascii="Garamond" w:hAnsi="Garamond"/>
                                <w:sz w:val="22"/>
                                <w:szCs w:val="22"/>
                                <w:lang w:val="de-DE"/>
                              </w:rPr>
                              <w:t xml:space="preserve">Galerie Geluk, Amsterdam; </w:t>
                            </w:r>
                            <w:r>
                              <w:rPr>
                                <w:rFonts w:cs="Garamond" w:ascii="Garamond" w:hAnsi="Garamond"/>
                                <w:sz w:val="22"/>
                                <w:szCs w:val="22"/>
                              </w:rPr>
                              <w:t>по</w:t>
                            </w:r>
                            <w:r>
                              <w:rPr>
                                <w:rFonts w:cs="Garamond" w:ascii="Garamond" w:hAnsi="Garamond"/>
                                <w:sz w:val="22"/>
                                <w:szCs w:val="22"/>
                                <w:lang w:val="de-DE"/>
                              </w:rPr>
                              <w:t xml:space="preserve">: </w:t>
                            </w:r>
                            <w:r>
                              <w:rPr>
                                <w:rFonts w:cs="Garamond" w:ascii="Garamond" w:hAnsi="Garamond"/>
                                <w:i/>
                                <w:sz w:val="22"/>
                                <w:szCs w:val="22"/>
                                <w:lang w:val="de-DE"/>
                              </w:rPr>
                              <w:t>Galerie Geluk</w:t>
                            </w:r>
                            <w:r>
                              <w:rPr>
                                <w:rFonts w:cs="Garamond" w:ascii="Garamond" w:hAnsi="Garamond"/>
                                <w:sz w:val="22"/>
                                <w:szCs w:val="22"/>
                                <w:lang w:val="de-DE"/>
                              </w:rPr>
                              <w:t xml:space="preserve">. URL: </w:t>
                            </w:r>
                            <w:hyperlink r:id="rId17" w:tgtFrame="_blank">
                              <w:r>
                                <w:rPr>
                                  <w:rStyle w:val="Style15"/>
                                  <w:rFonts w:cs="Garamond" w:ascii="Garamond" w:hAnsi="Garamond"/>
                                  <w:color w:val="000000"/>
                                  <w:sz w:val="22"/>
                                  <w:szCs w:val="22"/>
                                  <w:u w:val="none"/>
                                  <w:lang w:val="de-DE"/>
                                </w:rPr>
                                <w:t>https://www.galeriegeluk.nl/japan?ep%5B27455927%5D%5Bpage%5D=1</w:t>
                              </w:r>
                            </w:hyperlink>
                            <w:r>
                              <w:rPr>
                                <w:rFonts w:cs="Garamond" w:ascii="Garamond" w:hAnsi="Garamond"/>
                                <w:sz w:val="22"/>
                                <w:szCs w:val="22"/>
                                <w:lang w:val="de-DE"/>
                              </w:rPr>
                              <w:t>)</w:t>
                            </w:r>
                          </w:p>
                          <w:p>
                            <w:pPr>
                              <w:pStyle w:val="Normal"/>
                              <w:ind w:end="-31" w:hanging="0"/>
                              <w:jc w:val="center"/>
                              <w:rPr>
                                <w:rFonts w:ascii="Garamond" w:hAnsi="Garamond" w:eastAsia="MingLiU;細明體" w:cs="Garamond"/>
                                <w:sz w:val="8"/>
                                <w:szCs w:val="8"/>
                              </w:rPr>
                            </w:pPr>
                            <w:r>
                              <w:rPr>
                                <w:rFonts w:eastAsia="MingLiU;細明體" w:cs="Garamond" w:ascii="Garamond" w:hAnsi="Garamond"/>
                                <w:sz w:val="8"/>
                                <w:szCs w:val="8"/>
                              </w:rPr>
                            </w:r>
                          </w:p>
                        </w:tc>
                      </w:tr>
                    </w:tbl>
                  </w:txbxContent>
                </v:textbox>
                <w10:wrap type="square"/>
              </v:rect>
            </w:pict>
          </mc:Fallback>
        </mc:AlternateConten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Бернард Фор указывает на то, что в дальнейшем божества, составлявшие триаду Сантэн, имели собственные культы, которые, тем не менее, имели ряд общих черт:</w:t>
      </w:r>
    </w:p>
    <w:p>
      <w:pPr>
        <w:pStyle w:val="Normal"/>
        <w:ind w:end="-31" w:hanging="0"/>
        <w:jc w:val="both"/>
        <w:rPr>
          <w:rFonts w:ascii="Garamond" w:hAnsi="Garamond" w:eastAsia="MingLiU;細明體" w:cs="Garamond"/>
          <w:sz w:val="24"/>
          <w:szCs w:val="24"/>
        </w:rPr>
      </w:pPr>
      <w:r>
        <w:rPr>
          <w:rFonts w:eastAsia="MingLiU;細明體" w:cs="Garamond" w:ascii="Garamond" w:hAnsi="Garamond"/>
          <w:sz w:val="24"/>
          <w:szCs w:val="24"/>
        </w:rPr>
        <w:t>1) они управляли судьбой человека;</w:t>
      </w:r>
    </w:p>
    <w:p>
      <w:pPr>
        <w:pStyle w:val="Normal"/>
        <w:ind w:end="-31" w:hanging="0"/>
        <w:jc w:val="both"/>
        <w:rPr>
          <w:rFonts w:ascii="Garamond" w:hAnsi="Garamond" w:eastAsia="MingLiU;細明體" w:cs="Garamond"/>
          <w:sz w:val="24"/>
          <w:szCs w:val="24"/>
        </w:rPr>
      </w:pPr>
      <w:r>
        <w:rPr>
          <w:rFonts w:eastAsia="MingLiU;細明體" w:cs="Garamond" w:ascii="Garamond" w:hAnsi="Garamond"/>
          <w:sz w:val="24"/>
          <w:szCs w:val="24"/>
        </w:rPr>
        <w:t>2) им приписывалось обладание волшебной драгоценностью, исполняющей желания (</w:t>
      </w:r>
      <w:r>
        <w:rPr>
          <w:rFonts w:eastAsia="MingLiU;細明體" w:cs="Garamond" w:ascii="Garamond" w:hAnsi="Garamond"/>
          <w:i/>
          <w:sz w:val="24"/>
          <w:szCs w:val="24"/>
        </w:rPr>
        <w:t>чинтамани</w:t>
      </w:r>
      <w:r>
        <w:rPr>
          <w:rFonts w:eastAsia="MingLiU;細明體" w:cs="Garamond" w:ascii="Garamond" w:hAnsi="Garamond"/>
          <w:sz w:val="24"/>
          <w:szCs w:val="24"/>
        </w:rPr>
        <w:t>), благодаря чему они почитались как благодатные божества плодородия и богатства. Имея в наличии этот атрибут, они также ассоциировались с божеством Айдзэн Мёо и бодхисатвой Нёирин Каннон (</w:t>
      </w:r>
      <w:r>
        <w:rPr>
          <w:rFonts w:ascii="Garamond" w:hAnsi="Garamond" w:cs="Garamond" w:eastAsia="MingLiU;細明體"/>
          <w:sz w:val="24"/>
          <w:szCs w:val="24"/>
          <w:lang w:eastAsia="ja-JP"/>
        </w:rPr>
        <w:t>如意輪観音</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санскр. Чинтаманичакра Авалокитешвара);</w:t>
      </w:r>
    </w:p>
    <w:p>
      <w:pPr>
        <w:pStyle w:val="Normal"/>
        <w:ind w:end="-31" w:hanging="0"/>
        <w:jc w:val="both"/>
        <w:rPr>
          <w:rFonts w:ascii="Garamond" w:hAnsi="Garamond" w:eastAsia="MingLiU;細明體" w:cs="Garamond"/>
          <w:sz w:val="24"/>
          <w:szCs w:val="24"/>
        </w:rPr>
      </w:pPr>
      <w:r>
        <w:rPr>
          <w:rFonts w:eastAsia="MingLiU;細明體" w:cs="Garamond" w:ascii="Garamond" w:hAnsi="Garamond"/>
          <w:sz w:val="24"/>
          <w:szCs w:val="24"/>
        </w:rPr>
        <w:t>3) наличие у этих божеств животных признаков (их связь со слоном, змеей и лисой) соединяло их с хтоническими, темными и мощными силами природы, что, в свою очередь, обусловливало их вовлеченность в магические обряды для обретения власти, в частности, обряды черной магии;</w:t>
      </w:r>
    </w:p>
    <w:p>
      <w:pPr>
        <w:pStyle w:val="Normal"/>
        <w:ind w:end="-31" w:hanging="0"/>
        <w:jc w:val="both"/>
        <w:rPr>
          <w:rFonts w:ascii="Garamond" w:hAnsi="Garamond" w:eastAsia="MingLiU;細明體" w:cs="Garamond"/>
          <w:sz w:val="24"/>
          <w:szCs w:val="24"/>
        </w:rPr>
      </w:pPr>
      <w:r>
        <w:rPr>
          <w:rFonts w:eastAsia="MingLiU;細明體" w:cs="Garamond" w:ascii="Garamond" w:hAnsi="Garamond"/>
          <w:sz w:val="24"/>
          <w:szCs w:val="24"/>
        </w:rPr>
        <w:t>4) все они были связаны с Шивой-Махакалой как спутники или члены его свиты. Поскольку в тантрическом буддизме Дальнего Востока Махакала почитался как божество Земли, эти три божества также стали ассоциироваться с культами поклонения Земли;</w:t>
      </w:r>
    </w:p>
    <w:p>
      <w:pPr>
        <w:pStyle w:val="Normal"/>
        <w:ind w:end="-31" w:hanging="0"/>
        <w:jc w:val="both"/>
        <w:rPr/>
      </w:pPr>
      <w:r>
        <w:rPr>
          <w:rFonts w:eastAsia="MingLiU;細明體" w:cs="Garamond" w:ascii="Garamond" w:hAnsi="Garamond"/>
          <w:sz w:val="24"/>
          <w:szCs w:val="24"/>
        </w:rPr>
        <w:t>5) благодаря всем вышеперечисленным характеристикам, они не только заняли прочное место в японском буддийском пантеоне, но и стали ассоциироваться с местными синтоистскими божествами, что способствовало дальнейшей популяризации их культа [</w:t>
      </w:r>
      <w:r>
        <w:rPr>
          <w:rFonts w:eastAsia="MingLiU;細明體" w:cs="Garamond" w:ascii="Garamond" w:hAnsi="Garamond"/>
          <w:sz w:val="24"/>
          <w:szCs w:val="24"/>
          <w:lang w:val="en-US"/>
        </w:rPr>
        <w:t>Faure</w:t>
      </w:r>
      <w:r>
        <w:rPr>
          <w:rFonts w:eastAsia="MingLiU;細明體" w:cs="Garamond" w:ascii="Garamond" w:hAnsi="Garamond"/>
          <w:sz w:val="24"/>
          <w:szCs w:val="24"/>
        </w:rPr>
        <w:t xml:space="preserve">, 2012, </w:t>
      </w:r>
      <w:r>
        <w:rPr>
          <w:rFonts w:eastAsia="MingLiU;細明體" w:cs="Garamond" w:ascii="Garamond" w:hAnsi="Garamond"/>
          <w:sz w:val="24"/>
          <w:szCs w:val="24"/>
          <w:lang w:val="en-US"/>
        </w:rPr>
        <w:t>p</w:t>
      </w:r>
      <w:r>
        <w:rPr>
          <w:rFonts w:eastAsia="MingLiU;細明體" w:cs="Garamond" w:ascii="Garamond" w:hAnsi="Garamond"/>
          <w:sz w:val="24"/>
          <w:szCs w:val="24"/>
        </w:rPr>
        <w:t>. 404].</w:t>
      </w:r>
    </w:p>
    <w:p>
      <w:pPr>
        <w:pStyle w:val="Normal"/>
        <w:ind w:end="-31" w:firstLine="720"/>
        <w:jc w:val="both"/>
        <w:rPr/>
      </w:pPr>
      <w:r>
        <w:rPr>
          <w:rFonts w:eastAsia="MingLiU;細明體" w:cs="Garamond" w:ascii="Garamond" w:hAnsi="Garamond"/>
          <w:sz w:val="24"/>
          <w:szCs w:val="24"/>
        </w:rPr>
        <w:t>В отношении Ганеши этот пример может быть проиллюстрирован цитатой из трактата «Бикисё» (</w:t>
      </w:r>
      <w:r>
        <w:rPr>
          <w:rFonts w:ascii="Garamond" w:hAnsi="Garamond" w:cs="Garamond" w:eastAsia="MingLiU;細明體"/>
          <w:sz w:val="24"/>
          <w:szCs w:val="24"/>
        </w:rPr>
        <w:t>鼻帰書</w:t>
      </w:r>
      <w:r>
        <w:rPr>
          <w:rFonts w:eastAsia="MingLiU;細明體" w:cs="Garamond" w:ascii="Garamond" w:hAnsi="Garamond"/>
          <w:sz w:val="24"/>
          <w:szCs w:val="24"/>
        </w:rPr>
        <w:t>):</w:t>
      </w:r>
      <w:r>
        <w:rPr>
          <w:rFonts w:eastAsia="MingLiU;細明體" w:cs="Garamond" w:ascii="Garamond" w:hAnsi="Garamond"/>
          <w:sz w:val="24"/>
          <w:szCs w:val="24"/>
          <w:lang w:eastAsia="ja-JP"/>
        </w:rPr>
        <w:t xml:space="preserve"> </w:t>
      </w:r>
      <w:r>
        <w:rPr>
          <w:rFonts w:eastAsia="MingLiU;細明體" w:cs="Garamond" w:ascii="Garamond" w:hAnsi="Garamond"/>
          <w:sz w:val="24"/>
          <w:szCs w:val="24"/>
        </w:rPr>
        <w:t>«В преисподней Сётэн [является] царем Ямой, среди дэвов — [божеством] Сётэн, среди людей — двойным божеством (</w:t>
      </w:r>
      <w:r>
        <w:rPr>
          <w:rFonts w:eastAsia="MingLiU;細明體" w:cs="Garamond" w:ascii="Garamond" w:hAnsi="Garamond"/>
          <w:i/>
          <w:sz w:val="24"/>
          <w:szCs w:val="24"/>
        </w:rPr>
        <w:t>кусёдзин</w:t>
      </w:r>
      <w:r>
        <w:rPr>
          <w:rFonts w:eastAsia="MingLiU;細明體" w:cs="Garamond" w:ascii="Garamond" w:hAnsi="Garamond"/>
          <w:sz w:val="24"/>
          <w:szCs w:val="24"/>
        </w:rPr>
        <w:t xml:space="preserve">; </w:t>
      </w:r>
      <w:r>
        <w:rPr>
          <w:rFonts w:ascii="Garamond" w:hAnsi="Garamond" w:cs="Garamond" w:eastAsia="MingLiU;細明體"/>
          <w:sz w:val="24"/>
          <w:szCs w:val="24"/>
        </w:rPr>
        <w:t>倶生神</w:t>
      </w:r>
      <w:r>
        <w:rPr>
          <w:rFonts w:eastAsia="MingLiU;細明體" w:cs="Garamond" w:ascii="Garamond" w:hAnsi="Garamond"/>
          <w:sz w:val="24"/>
          <w:szCs w:val="24"/>
        </w:rPr>
        <w:t>)</w:t>
      </w:r>
      <w:r>
        <w:rPr>
          <w:rFonts w:eastAsia="MingLiU;細明體" w:cs="Garamond" w:ascii="Garamond" w:hAnsi="Garamond"/>
          <w:sz w:val="24"/>
          <w:szCs w:val="24"/>
          <w:lang w:eastAsia="ja-JP"/>
        </w:rPr>
        <w:t xml:space="preserve"> </w:t>
      </w:r>
      <w:r>
        <w:rPr>
          <w:rFonts w:eastAsia="MingLiU;細明體" w:cs="Garamond" w:ascii="Garamond" w:hAnsi="Garamond"/>
          <w:sz w:val="24"/>
          <w:szCs w:val="24"/>
        </w:rPr>
        <w:t>среди ками — [богом] Сусаноо. Все эти боги — воплощения Сётэн» [</w:t>
      </w:r>
      <w:r>
        <w:rPr>
          <w:rFonts w:eastAsia="MingLiU;細明體" w:cs="Garamond" w:ascii="Garamond" w:hAnsi="Garamond"/>
          <w:sz w:val="24"/>
          <w:szCs w:val="24"/>
          <w:lang w:val="en-US"/>
        </w:rPr>
        <w:t>Faure</w:t>
      </w:r>
      <w:r>
        <w:rPr>
          <w:rFonts w:eastAsia="MingLiU;細明體" w:cs="Garamond" w:ascii="Garamond" w:hAnsi="Garamond"/>
          <w:sz w:val="24"/>
          <w:szCs w:val="24"/>
        </w:rPr>
        <w:t xml:space="preserve">, 2012, </w:t>
      </w:r>
      <w:r>
        <w:rPr>
          <w:rFonts w:eastAsia="MingLiU;細明體" w:cs="Garamond" w:ascii="Garamond" w:hAnsi="Garamond"/>
          <w:sz w:val="24"/>
          <w:szCs w:val="24"/>
          <w:lang w:val="en-US"/>
        </w:rPr>
        <w:t>p</w:t>
      </w:r>
      <w:r>
        <w:rPr>
          <w:rFonts w:eastAsia="MingLiU;細明體" w:cs="Garamond" w:ascii="Garamond" w:hAnsi="Garamond"/>
          <w:sz w:val="24"/>
          <w:szCs w:val="24"/>
        </w:rPr>
        <w:t>. 404].</w:t>
      </w:r>
    </w:p>
    <w:p>
      <w:pPr>
        <w:pStyle w:val="Normal"/>
        <w:ind w:end="-31" w:firstLine="720"/>
        <w:jc w:val="both"/>
        <w:rPr/>
      </w:pPr>
      <w:r>
        <w:rPr>
          <w:rFonts w:eastAsia="MingLiU;細明體" w:cs="Garamond" w:ascii="Garamond" w:hAnsi="Garamond"/>
          <w:sz w:val="24"/>
          <w:szCs w:val="24"/>
        </w:rPr>
        <w:t>Еще одна ипостась Ганеши в Японии, чей культ носил такой же мистический характер, как и у Матарадзин, — Сосин Кангитэн. Это божество также символизировало гармонию противоположностей, мужского и женского начал. В традиции Сингон этот образ приобрел эзотерическую трактовку. В ней объятия мужского и женского воплощений Ганеши стали символизировать единение двух мандал — Алмазной мандалы и мандалы Чрева, соответственно, единство абсолютного и феноменального. Разумеется, на это восприятие также повлияла упомянутая выше легенда о браке демона Винаяки и Авалокитешвары (Каннон). В этой концепции Ганеша, который изначально почитался как божество всех начинаний и устранитель препятствий, превращался в посредника между реальным и потусторонним миром, воплощением абсолютной истины. Поэтому в школе Сингон он стал почитаться в качестве особого «тайного божества» (</w:t>
      </w:r>
      <w:r>
        <w:rPr>
          <w:rFonts w:eastAsia="MingLiU;細明體" w:cs="Garamond" w:ascii="Garamond" w:hAnsi="Garamond"/>
          <w:i/>
          <w:sz w:val="24"/>
          <w:szCs w:val="24"/>
        </w:rPr>
        <w:t>хибуцу</w:t>
      </w:r>
      <w:r>
        <w:rPr>
          <w:rFonts w:eastAsia="MingLiU;細明體" w:cs="Garamond" w:ascii="Garamond" w:hAnsi="Garamond"/>
          <w:sz w:val="24"/>
          <w:szCs w:val="24"/>
        </w:rPr>
        <w:t xml:space="preserve">; </w:t>
      </w:r>
      <w:r>
        <w:rPr>
          <w:rFonts w:ascii="Garamond" w:hAnsi="Garamond" w:cs="Garamond" w:eastAsia="MingLiU;細明體"/>
          <w:sz w:val="24"/>
          <w:szCs w:val="24"/>
          <w:lang w:eastAsia="ja-JP"/>
        </w:rPr>
        <w:t>秘仏</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чье изображение должно было находиться скрытым в святилище, в отличие от основных объектов почитания (</w:t>
      </w:r>
      <w:r>
        <w:rPr>
          <w:rFonts w:eastAsia="MingLiU;細明體" w:cs="Garamond" w:ascii="Garamond" w:hAnsi="Garamond"/>
          <w:i/>
          <w:sz w:val="24"/>
          <w:szCs w:val="24"/>
        </w:rPr>
        <w:t>хондзон</w:t>
      </w:r>
      <w:r>
        <w:rPr>
          <w:rFonts w:eastAsia="MingLiU;細明體" w:cs="Garamond" w:ascii="Garamond" w:hAnsi="Garamond"/>
          <w:sz w:val="24"/>
          <w:szCs w:val="24"/>
        </w:rPr>
        <w:t>), выставленных для всеобщего поклонения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32–36].</w:t>
      </w:r>
    </w:p>
    <w:p>
      <w:pPr>
        <w:pStyle w:val="Normal"/>
        <w:ind w:end="-31" w:firstLine="720"/>
        <w:jc w:val="both"/>
        <w:rPr/>
      </w:pPr>
      <w:r>
        <w:rPr>
          <w:rFonts w:eastAsia="MingLiU;細明體" w:cs="Garamond" w:ascii="Garamond" w:hAnsi="Garamond"/>
          <w:sz w:val="24"/>
          <w:szCs w:val="24"/>
        </w:rPr>
        <w:t>Примечательно, что Ганеша также был одним из почитаемых божеств в эзотерических ритуалах другой широко известной буддийской школы — Тэндай как часть тирады Сантэн, так и виде отдельного божества. Так, в трактате «Кэйран сюёсю»    (</w:t>
      </w:r>
      <w:r>
        <w:rPr>
          <w:rFonts w:ascii="Garamond" w:hAnsi="Garamond" w:cs="Garamond" w:eastAsia="Arial Unicode MS"/>
        </w:rPr>
        <w:t>渓</w:t>
      </w:r>
      <w:r>
        <w:rPr>
          <w:rFonts w:ascii="Garamond" w:hAnsi="Garamond" w:cs="Garamond" w:eastAsia="MingLiU;細明體"/>
          <w:sz w:val="24"/>
          <w:szCs w:val="24"/>
        </w:rPr>
        <w:t>嵐拾葉集</w:t>
      </w:r>
      <w:r>
        <w:rPr>
          <w:rFonts w:eastAsia="MingLiU;細明體" w:cs="Garamond" w:ascii="Garamond" w:hAnsi="Garamond"/>
          <w:sz w:val="24"/>
          <w:szCs w:val="24"/>
        </w:rPr>
        <w:t xml:space="preserve">) божества Сётэн, Бэндзайтэн и Дакинитэн представлены как воплощения «трех тайн» (яп. </w:t>
      </w:r>
      <w:r>
        <w:rPr>
          <w:rFonts w:eastAsia="MingLiU;細明體" w:cs="Garamond" w:ascii="Garamond" w:hAnsi="Garamond"/>
          <w:i/>
          <w:sz w:val="24"/>
          <w:szCs w:val="24"/>
        </w:rPr>
        <w:t>санмицу</w:t>
      </w:r>
      <w:r>
        <w:rPr>
          <w:rFonts w:eastAsia="MingLiU;細明體" w:cs="Garamond" w:ascii="Garamond" w:hAnsi="Garamond"/>
          <w:sz w:val="24"/>
          <w:szCs w:val="24"/>
        </w:rPr>
        <w:t>;  </w:t>
      </w:r>
      <w:r>
        <w:rPr>
          <w:rFonts w:ascii="Garamond" w:hAnsi="Garamond" w:cs="Garamond" w:eastAsia="MingLiU;細明體"/>
          <w:sz w:val="24"/>
          <w:szCs w:val="24"/>
          <w:lang w:eastAsia="ja-JP"/>
        </w:rPr>
        <w:t>三秘</w:t>
      </w:r>
      <w:r>
        <w:rPr>
          <w:rFonts w:eastAsia="MingLiU;細明體" w:cs="Garamond" w:ascii="Garamond" w:hAnsi="Garamond"/>
          <w:sz w:val="24"/>
          <w:szCs w:val="24"/>
          <w:lang w:eastAsia="ja-JP"/>
        </w:rPr>
        <w:t xml:space="preserve">) </w:t>
      </w:r>
      <w:r>
        <w:rPr>
          <w:rFonts w:eastAsia="MingLiU;細明體" w:cs="Garamond" w:ascii="Garamond" w:hAnsi="Garamond"/>
          <w:sz w:val="24"/>
          <w:szCs w:val="24"/>
        </w:rPr>
        <w:t xml:space="preserve">— тела, ума и речи Будды Вайрочаны. Они также являются эманациями «трех тел» Будды (санскр. </w:t>
      </w:r>
      <w:r>
        <w:rPr>
          <w:rFonts w:eastAsia="MingLiU;細明體" w:cs="Garamond" w:ascii="Garamond" w:hAnsi="Garamond"/>
          <w:i/>
          <w:sz w:val="24"/>
          <w:szCs w:val="24"/>
        </w:rPr>
        <w:t>трикайя, яп. сансин</w:t>
      </w:r>
      <w:r>
        <w:rPr>
          <w:rFonts w:eastAsia="MingLiU;細明體" w:cs="Garamond" w:ascii="Garamond" w:hAnsi="Garamond"/>
          <w:sz w:val="24"/>
          <w:szCs w:val="24"/>
        </w:rPr>
        <w:t xml:space="preserve">; </w:t>
      </w:r>
      <w:r>
        <w:rPr>
          <w:rFonts w:ascii="Garamond" w:hAnsi="Garamond" w:cs="Garamond" w:eastAsia="MingLiU;細明體"/>
          <w:sz w:val="24"/>
          <w:szCs w:val="24"/>
        </w:rPr>
        <w:t>三身</w:t>
      </w:r>
      <w:r>
        <w:rPr>
          <w:rFonts w:eastAsia="MingLiU;細明體" w:cs="Garamond" w:ascii="Garamond" w:hAnsi="Garamond"/>
          <w:sz w:val="24"/>
          <w:szCs w:val="24"/>
        </w:rPr>
        <w:t>). Следует пояснить, что в буддийской доктрине «Три тела будды» подразумевают единое вселенское тело Будды</w:t>
      </w:r>
      <w:r>
        <w:rPr>
          <w:rFonts w:eastAsia="MingLiU;細明體" w:cs="Garamond" w:ascii="Garamond" w:hAnsi="Garamond"/>
          <w:i/>
          <w:sz w:val="24"/>
          <w:szCs w:val="24"/>
        </w:rPr>
        <w:t xml:space="preserve"> (</w:t>
      </w:r>
      <w:r>
        <w:rPr>
          <w:rFonts w:eastAsia="MingLiU;細明體" w:cs="Garamond" w:ascii="Garamond" w:hAnsi="Garamond"/>
          <w:sz w:val="24"/>
          <w:szCs w:val="24"/>
        </w:rPr>
        <w:t>санскр.</w:t>
      </w:r>
      <w:r>
        <w:rPr>
          <w:rFonts w:eastAsia="MingLiU;細明體" w:cs="Garamond" w:ascii="Garamond" w:hAnsi="Garamond"/>
          <w:i/>
          <w:sz w:val="24"/>
          <w:szCs w:val="24"/>
        </w:rPr>
        <w:t xml:space="preserve"> буддха-кайя)</w:t>
      </w:r>
      <w:r>
        <w:rPr>
          <w:rFonts w:eastAsia="MingLiU;細明體" w:cs="Garamond" w:ascii="Garamond" w:hAnsi="Garamond"/>
          <w:sz w:val="24"/>
          <w:szCs w:val="24"/>
        </w:rPr>
        <w:t>. Оно постигается в трех видах: как вселенское «тело Закона» (санскр.</w:t>
      </w:r>
      <w:r>
        <w:rPr>
          <w:rFonts w:eastAsia="MingLiU;細明體" w:cs="Garamond" w:ascii="Garamond" w:hAnsi="Garamond"/>
          <w:i/>
          <w:sz w:val="24"/>
          <w:szCs w:val="24"/>
        </w:rPr>
        <w:t xml:space="preserve"> дхармакая, </w:t>
      </w:r>
      <w:r>
        <w:rPr>
          <w:rFonts w:eastAsia="MingLiU;細明體" w:cs="Garamond" w:ascii="Garamond" w:hAnsi="Garamond"/>
          <w:sz w:val="24"/>
          <w:szCs w:val="24"/>
        </w:rPr>
        <w:t>яп.</w:t>
      </w:r>
      <w:r>
        <w:rPr>
          <w:rFonts w:eastAsia="MingLiU;細明體" w:cs="Garamond" w:ascii="Garamond" w:hAnsi="Garamond"/>
          <w:i/>
          <w:sz w:val="24"/>
          <w:szCs w:val="24"/>
        </w:rPr>
        <w:t xml:space="preserve"> хоссин</w:t>
      </w:r>
      <w:r>
        <w:rPr>
          <w:rFonts w:eastAsia="MingLiU;細明體" w:cs="Garamond" w:ascii="Garamond" w:hAnsi="Garamond"/>
          <w:sz w:val="24"/>
          <w:szCs w:val="24"/>
        </w:rPr>
        <w:t xml:space="preserve">; </w:t>
      </w:r>
      <w:r>
        <w:rPr>
          <w:rFonts w:ascii="Garamond" w:hAnsi="Garamond" w:cs="Garamond" w:eastAsia="MingLiU;細明體"/>
          <w:sz w:val="24"/>
          <w:szCs w:val="24"/>
        </w:rPr>
        <w:t>法身</w:t>
      </w:r>
      <w:r>
        <w:rPr>
          <w:rFonts w:eastAsia="MingLiU;細明體" w:cs="Garamond" w:ascii="Garamond" w:hAnsi="Garamond"/>
          <w:sz w:val="24"/>
          <w:szCs w:val="24"/>
        </w:rPr>
        <w:t xml:space="preserve">) как земное «превращенное тело» (санскр. </w:t>
      </w:r>
      <w:r>
        <w:rPr>
          <w:rFonts w:eastAsia="MingLiU;細明體" w:cs="Garamond" w:ascii="Garamond" w:hAnsi="Garamond"/>
          <w:i/>
          <w:sz w:val="24"/>
          <w:szCs w:val="24"/>
        </w:rPr>
        <w:t>нирманакая</w:t>
      </w:r>
      <w:r>
        <w:rPr>
          <w:rFonts w:eastAsia="MingLiU;細明體" w:cs="Garamond" w:ascii="Garamond" w:hAnsi="Garamond"/>
          <w:sz w:val="24"/>
          <w:szCs w:val="24"/>
        </w:rPr>
        <w:t>, яп.</w:t>
      </w:r>
      <w:r>
        <w:rPr>
          <w:rFonts w:eastAsia="MingLiU;細明體" w:cs="Garamond" w:ascii="Garamond" w:hAnsi="Garamond"/>
          <w:i/>
          <w:sz w:val="24"/>
          <w:szCs w:val="24"/>
        </w:rPr>
        <w:t xml:space="preserve"> кэсин</w:t>
      </w:r>
      <w:r>
        <w:rPr>
          <w:rFonts w:eastAsia="MingLiU;細明體" w:cs="Garamond" w:ascii="Garamond" w:hAnsi="Garamond"/>
          <w:sz w:val="24"/>
          <w:szCs w:val="24"/>
        </w:rPr>
        <w:t xml:space="preserve">; </w:t>
      </w:r>
      <w:r>
        <w:rPr>
          <w:rFonts w:ascii="Garamond" w:hAnsi="Garamond" w:cs="Garamond" w:eastAsia="MingLiU;細明體"/>
          <w:sz w:val="24"/>
          <w:szCs w:val="24"/>
        </w:rPr>
        <w:t>化身</w:t>
      </w:r>
      <w:r>
        <w:rPr>
          <w:rFonts w:eastAsia="MingLiU;細明體" w:cs="Garamond" w:ascii="Garamond" w:hAnsi="Garamond"/>
          <w:sz w:val="24"/>
          <w:szCs w:val="24"/>
        </w:rPr>
        <w:t xml:space="preserve">) и как промежуточное  «тело наслаждения» или «тело соответствия» (санскр. </w:t>
      </w:r>
      <w:r>
        <w:rPr>
          <w:rFonts w:eastAsia="MingLiU;細明體" w:cs="Garamond" w:ascii="Garamond" w:hAnsi="Garamond"/>
          <w:i/>
          <w:sz w:val="24"/>
          <w:szCs w:val="24"/>
        </w:rPr>
        <w:t>самбхогая</w:t>
      </w:r>
      <w:r>
        <w:rPr>
          <w:rFonts w:eastAsia="MingLiU;細明體" w:cs="Garamond" w:ascii="Garamond" w:hAnsi="Garamond"/>
          <w:sz w:val="24"/>
          <w:szCs w:val="24"/>
        </w:rPr>
        <w:t xml:space="preserve">, яп. </w:t>
      </w:r>
      <w:r>
        <w:rPr>
          <w:rFonts w:eastAsia="MingLiU;細明體" w:cs="Garamond" w:ascii="Garamond" w:hAnsi="Garamond"/>
          <w:i/>
          <w:sz w:val="24"/>
          <w:szCs w:val="24"/>
        </w:rPr>
        <w:t>осин</w:t>
      </w:r>
      <w:r>
        <w:rPr>
          <w:rFonts w:eastAsia="MingLiU;細明體" w:cs="Garamond" w:ascii="Garamond" w:hAnsi="Garamond"/>
          <w:sz w:val="24"/>
          <w:szCs w:val="24"/>
        </w:rPr>
        <w:t xml:space="preserve">; </w:t>
      </w:r>
      <w:r>
        <w:rPr>
          <w:rFonts w:ascii="Garamond" w:hAnsi="Garamond" w:cs="Garamond" w:eastAsia="MingLiU;細明體"/>
          <w:sz w:val="24"/>
          <w:szCs w:val="24"/>
        </w:rPr>
        <w:t>応</w:t>
      </w:r>
      <w:r>
        <w:rPr>
          <w:rFonts w:ascii="Garamond" w:hAnsi="Garamond" w:cs="Garamond" w:eastAsia="MingLiU;細明體"/>
          <w:sz w:val="24"/>
          <w:szCs w:val="24"/>
          <w:lang w:eastAsia="ja-JP"/>
        </w:rPr>
        <w:t>身</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В космологии буддизма Тело Закона трактуется как вся Вселенная (</w:t>
      </w:r>
      <w:r>
        <w:rPr>
          <w:rFonts w:eastAsia="MingLiU;細明體" w:cs="Garamond" w:ascii="Garamond" w:hAnsi="Garamond"/>
          <w:i/>
          <w:sz w:val="24"/>
          <w:szCs w:val="24"/>
        </w:rPr>
        <w:t>дхармадхату</w:t>
      </w:r>
      <w:r>
        <w:rPr>
          <w:rFonts w:eastAsia="MingLiU;細明體" w:cs="Garamond" w:ascii="Garamond" w:hAnsi="Garamond"/>
          <w:sz w:val="24"/>
          <w:szCs w:val="24"/>
        </w:rPr>
        <w:t>) и соотносится с Татхагатой Махавайрочаной. В традиции Ваджраяны «тело Закона» также подразделяется на «тело закона собственного принятия-применения» и «тело закона внешнего принятия-применения». Разница между ними заключается в том, что в первом «теле» проповедь Татхагаты как Махавайрочаны ведется для тридцати семи великих бодхисаттв («семейства Татхагаты»), во втором «теле» эту проповедь воспринимают бодхисаттвы десяти ступеней просветления [Трубникова, 2000, с. 33–36]. Таким образом, в школе Тэндай также пытались доктринально показать связь между Ганешей и Буддой Махавайрочаной.</w:t>
      </w:r>
    </w:p>
    <w:p>
      <w:pPr>
        <w:pStyle w:val="Normal"/>
        <w:ind w:end="-31" w:firstLine="720"/>
        <w:jc w:val="both"/>
        <w:rPr/>
      </w:pPr>
      <w:r>
        <w:rPr>
          <w:rFonts w:eastAsia="MingLiU;細明體" w:cs="Garamond" w:ascii="Garamond" w:hAnsi="Garamond"/>
          <w:sz w:val="24"/>
          <w:szCs w:val="24"/>
        </w:rPr>
        <w:t xml:space="preserve">В эзотерической традиции Тэндай триаду Сантэн также связывали с тремя «семенными знаками» (яп. </w:t>
      </w:r>
      <w:r>
        <w:rPr>
          <w:rFonts w:eastAsia="MingLiU;細明體" w:cs="Garamond" w:ascii="Garamond" w:hAnsi="Garamond"/>
          <w:i/>
          <w:iCs/>
          <w:sz w:val="24"/>
          <w:szCs w:val="24"/>
        </w:rPr>
        <w:t>сюдзи</w:t>
      </w:r>
      <w:r>
        <w:rPr>
          <w:rFonts w:eastAsia="MingLiU;細明體" w:cs="Garamond" w:ascii="Garamond" w:hAnsi="Garamond"/>
          <w:sz w:val="24"/>
          <w:szCs w:val="24"/>
        </w:rPr>
        <w:t xml:space="preserve">; </w:t>
      </w:r>
      <w:r>
        <w:rPr>
          <w:rFonts w:ascii="Garamond" w:hAnsi="Garamond" w:cs="Garamond" w:eastAsia="MingLiU;細明體"/>
          <w:sz w:val="24"/>
          <w:szCs w:val="24"/>
          <w:lang w:eastAsia="ja-JP"/>
        </w:rPr>
        <w:t>種字</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санскр. биджа) — основными слоговыми мантрами А-Бан-Ун (санскр. А-Вам-Хум) и соответствующими мудрами [</w:t>
      </w:r>
      <w:r>
        <w:rPr>
          <w:rFonts w:eastAsia="MingLiU;細明體" w:cs="Garamond" w:ascii="Garamond" w:hAnsi="Garamond"/>
          <w:sz w:val="24"/>
          <w:szCs w:val="24"/>
          <w:lang w:val="en-US"/>
        </w:rPr>
        <w:t>Faure</w:t>
      </w:r>
      <w:r>
        <w:rPr>
          <w:rFonts w:eastAsia="MingLiU;細明體" w:cs="Garamond" w:ascii="Garamond" w:hAnsi="Garamond"/>
          <w:sz w:val="24"/>
          <w:szCs w:val="24"/>
        </w:rPr>
        <w:t xml:space="preserve">, 2012, </w:t>
      </w:r>
      <w:r>
        <w:rPr>
          <w:rFonts w:eastAsia="MingLiU;細明體" w:cs="Garamond" w:ascii="Garamond" w:hAnsi="Garamond"/>
          <w:sz w:val="24"/>
          <w:szCs w:val="24"/>
          <w:lang w:val="en-US"/>
        </w:rPr>
        <w:t>p</w:t>
      </w:r>
      <w:r>
        <w:rPr>
          <w:rFonts w:eastAsia="MingLiU;細明體" w:cs="Garamond" w:ascii="Garamond" w:hAnsi="Garamond"/>
          <w:sz w:val="24"/>
          <w:szCs w:val="24"/>
        </w:rPr>
        <w:t>.</w:t>
      </w:r>
      <w:r>
        <w:rPr>
          <w:rFonts w:eastAsia="MingLiU;細明體" w:cs="Garamond" w:ascii="Garamond" w:hAnsi="Garamond"/>
          <w:sz w:val="24"/>
          <w:szCs w:val="24"/>
          <w:lang w:val="en-US"/>
        </w:rPr>
        <w:t> </w:t>
      </w:r>
      <w:r>
        <w:rPr>
          <w:rFonts w:eastAsia="MingLiU;細明體" w:cs="Garamond" w:ascii="Garamond" w:hAnsi="Garamond"/>
          <w:sz w:val="24"/>
          <w:szCs w:val="24"/>
        </w:rPr>
        <w:t>404].</w:t>
      </w:r>
    </w:p>
    <w:p>
      <w:pPr>
        <w:pStyle w:val="Normal"/>
        <w:ind w:end="-31" w:firstLine="720"/>
        <w:jc w:val="both"/>
        <w:rPr/>
      </w:pPr>
      <w:r>
        <w:rPr>
          <w:rFonts w:eastAsia="MingLiU;細明體" w:cs="Garamond" w:ascii="Garamond" w:hAnsi="Garamond"/>
          <w:sz w:val="24"/>
          <w:szCs w:val="24"/>
        </w:rPr>
        <w:t>В качестве отдельного божества Сётэн Ганеше нашлось место и в ритуальной практике Тэндай. Сохранилось несколько легенд о его статуе, привезенной достопочтенным патриархом Эннином (</w:t>
      </w:r>
      <w:r>
        <w:rPr>
          <w:rFonts w:ascii="Garamond" w:hAnsi="Garamond" w:cs="Garamond" w:eastAsia="MingLiU;細明體"/>
          <w:sz w:val="24"/>
          <w:szCs w:val="24"/>
        </w:rPr>
        <w:t>円仁</w:t>
      </w:r>
      <w:r>
        <w:rPr>
          <w:rFonts w:eastAsia="MingLiU;細明體" w:cs="Garamond" w:ascii="Garamond" w:hAnsi="Garamond"/>
          <w:sz w:val="24"/>
          <w:szCs w:val="24"/>
        </w:rPr>
        <w:t>; 794–864) из Китая и помещенной в святилище Дзэнтоин на горе Хиэй. Благодаря ритуалам, проводимым перед статуей Сётэн, священник Сонъи (</w:t>
      </w:r>
      <w:r>
        <w:rPr>
          <w:rFonts w:ascii="Garamond" w:hAnsi="Garamond" w:cs="Garamond" w:eastAsia="MingLiU;細明體"/>
          <w:sz w:val="24"/>
          <w:szCs w:val="24"/>
        </w:rPr>
        <w:t>尊意</w:t>
      </w:r>
      <w:r>
        <w:rPr>
          <w:rFonts w:eastAsia="MingLiU;細明體" w:cs="Garamond" w:ascii="Garamond" w:hAnsi="Garamond"/>
          <w:sz w:val="24"/>
          <w:szCs w:val="24"/>
        </w:rPr>
        <w:t>) в 949 г. помог усмирить мятеж Тайра Масакадо (</w:t>
      </w:r>
      <w:r>
        <w:rPr>
          <w:rFonts w:ascii="Garamond" w:hAnsi="Garamond" w:cs="Garamond" w:eastAsia="MingLiU;細明體"/>
          <w:sz w:val="24"/>
          <w:szCs w:val="24"/>
          <w:lang w:eastAsia="ja-JP"/>
        </w:rPr>
        <w:t>平将門</w:t>
      </w:r>
      <w:r>
        <w:rPr>
          <w:rFonts w:eastAsia="MingLiU;細明體" w:cs="Garamond" w:ascii="Garamond" w:hAnsi="Garamond"/>
          <w:sz w:val="24"/>
          <w:szCs w:val="24"/>
          <w:lang w:eastAsia="ja-JP"/>
        </w:rPr>
        <w:t>).</w:t>
      </w:r>
      <w:r>
        <w:rPr>
          <w:rFonts w:eastAsia="MingLiU;細明體" w:cs="Garamond" w:ascii="Garamond" w:hAnsi="Garamond"/>
          <w:sz w:val="24"/>
          <w:szCs w:val="24"/>
        </w:rPr>
        <w:t xml:space="preserve"> Следует отметить, что в Японии — так же, как и в Китае — культ Ганеши использовался и в ритуалах черной магии. Так, сохранились сведения о том, что в 1329 г. император Го-дайго (</w:t>
      </w:r>
      <w:r>
        <w:rPr>
          <w:rFonts w:ascii="Garamond" w:hAnsi="Garamond" w:cs="Garamond" w:eastAsia="MingLiU;細明體"/>
          <w:sz w:val="24"/>
          <w:szCs w:val="24"/>
        </w:rPr>
        <w:t>後醍醐</w:t>
      </w:r>
      <w:r>
        <w:rPr>
          <w:rFonts w:eastAsia="MingLiU;細明體" w:cs="Garamond" w:ascii="Garamond" w:hAnsi="Garamond"/>
          <w:sz w:val="24"/>
          <w:szCs w:val="24"/>
        </w:rPr>
        <w:t>; 1288–1339) тайно провел ритуал поклонения статуе Сётэн, поливая ее маслом, чтобы свергнуть власть сёгуната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32–36] Примечательно, что проведенный императором ритуал очень напоминает описанный выше Аттикутой в «Дхаранисаммукья» обряд усмирения Винаяки, который также включал в себя ритуальное поклонение статуе бога со слоновьей головой и поливания ее кунжутным маслом.</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Что касается Сосин Кангитэн, то в дальнейшем в народной традиции образ этого божества получил иную трактовку. Он ассоциировался с двумя божествами охранителями Нио, а также с брачным союзом двух тантрических божеств — гневного Фудо Мёо (</w:t>
      </w:r>
      <w:r>
        <w:rPr>
          <w:rFonts w:ascii="Garamond" w:hAnsi="Garamond" w:cs="Garamond" w:eastAsia="MingLiU;細明體"/>
          <w:sz w:val="24"/>
          <w:szCs w:val="24"/>
        </w:rPr>
        <w:t>不動</w:t>
      </w:r>
      <w:r>
        <w:rPr>
          <w:rStyle w:val="Style18"/>
          <w:rFonts w:ascii="Garamond" w:hAnsi="Garamond" w:cs="Garamond" w:eastAsia="MingLiU;細明體"/>
          <w:i w:val="false"/>
          <w:iCs w:val="false"/>
          <w:sz w:val="24"/>
          <w:szCs w:val="24"/>
        </w:rPr>
        <w:t>明王</w:t>
      </w:r>
      <w:r>
        <w:rPr>
          <w:rStyle w:val="Style18"/>
          <w:rFonts w:eastAsia="MingLiU;細明體" w:cs="Garamond" w:ascii="Garamond" w:hAnsi="Garamond"/>
          <w:i w:val="false"/>
          <w:iCs w:val="false"/>
          <w:sz w:val="24"/>
          <w:szCs w:val="24"/>
        </w:rPr>
        <w:t>;</w:t>
      </w:r>
      <w:r>
        <w:rPr>
          <w:rFonts w:eastAsia="MingLiU;細明體" w:cs="Garamond" w:ascii="Garamond" w:hAnsi="Garamond"/>
          <w:sz w:val="24"/>
          <w:szCs w:val="24"/>
        </w:rPr>
        <w:t xml:space="preserve"> санскр. Ачала) и дарующего любовь Айдзэн Мёо (санскр. Рагараджа). В этой ипостаси Сосин Кангитэн почиталось как божество плодородия и богатства, также дарующее детей. Так, в период Гэнроку (</w:t>
      </w:r>
      <w:r>
        <w:rPr>
          <w:rFonts w:ascii="Garamond" w:hAnsi="Garamond" w:cs="Garamond" w:eastAsia="MingLiU;細明體"/>
          <w:sz w:val="24"/>
          <w:szCs w:val="24"/>
          <w:lang w:val="en-US" w:eastAsia="ja-JP"/>
        </w:rPr>
        <w:t>元禄</w:t>
      </w:r>
      <w:r>
        <w:rPr>
          <w:rFonts w:eastAsia="MingLiU;細明體" w:cs="Garamond" w:ascii="Garamond" w:hAnsi="Garamond"/>
          <w:sz w:val="24"/>
          <w:szCs w:val="24"/>
          <w:lang w:eastAsia="ja-JP"/>
        </w:rPr>
        <w:t xml:space="preserve">; </w:t>
      </w:r>
      <w:r>
        <w:rPr>
          <w:rFonts w:eastAsia="MingLiU;細明體" w:cs="Garamond" w:ascii="Garamond" w:hAnsi="Garamond"/>
          <w:sz w:val="24"/>
          <w:szCs w:val="24"/>
        </w:rPr>
        <w:t>1688–1704) статуя Сосин Кангитэн из храма Ходзандзи на горе Икома в Нара особенно почиталась среди торговцев. Известно также, что Сосин Кангитэн как божеству, приносящему удачу, поклонялись актеры, игроки и куртизанки. Ныне в Японии насчитывается около 240 святилищ и храмов, посвященных Сосин Кангитэн, где статуя божества по-прежнему является тайной святыней. Наиболее известен среди них храм Ходзандзи в Нара [</w:t>
      </w:r>
      <w:r>
        <w:rPr>
          <w:rFonts w:eastAsia="MingLiU;細明體" w:cs="Garamond" w:ascii="Garamond" w:hAnsi="Garamond"/>
          <w:sz w:val="24"/>
          <w:szCs w:val="24"/>
          <w:lang w:val="en-US"/>
        </w:rPr>
        <w:t>Rosseels</w:t>
      </w:r>
      <w:r>
        <w:rPr>
          <w:rFonts w:eastAsia="MingLiU;細明體" w:cs="Garamond" w:ascii="Garamond" w:hAnsi="Garamond"/>
          <w:sz w:val="24"/>
          <w:szCs w:val="24"/>
        </w:rPr>
        <w:t xml:space="preserve">, 2015, </w:t>
      </w:r>
      <w:r>
        <w:rPr>
          <w:rFonts w:eastAsia="MingLiU;細明體" w:cs="Garamond" w:ascii="Garamond" w:hAnsi="Garamond"/>
          <w:sz w:val="24"/>
          <w:szCs w:val="24"/>
          <w:lang w:val="en-US"/>
        </w:rPr>
        <w:t>p</w:t>
      </w:r>
      <w:r>
        <w:rPr>
          <w:rFonts w:eastAsia="MingLiU;細明體" w:cs="Garamond" w:ascii="Garamond" w:hAnsi="Garamond"/>
          <w:sz w:val="24"/>
          <w:szCs w:val="24"/>
        </w:rPr>
        <w:t>. 32–36].</w:t>
      </w:r>
    </w:p>
    <w:p>
      <w:pPr>
        <w:pStyle w:val="Normal"/>
        <w:ind w:end="-31" w:firstLine="720"/>
        <w:jc w:val="both"/>
        <w:rPr/>
      </w:pPr>
      <w:r>
        <w:rPr>
          <w:rFonts w:eastAsia="MingLiU;細明體" w:cs="Garamond" w:ascii="Garamond" w:hAnsi="Garamond"/>
          <w:sz w:val="24"/>
          <w:szCs w:val="24"/>
        </w:rPr>
        <w:t>Подводя итог, можно сделать следующие выводы. Ганеша, ныне известный как одно из наиболее почитаемых божеств в индуизме, первоначально в Древней Индии относился к категории злых демонов-</w:t>
      </w:r>
      <w:r>
        <w:rPr>
          <w:rFonts w:eastAsia="MingLiU;細明體" w:cs="Garamond" w:ascii="Garamond" w:hAnsi="Garamond"/>
          <w:i/>
          <w:sz w:val="24"/>
          <w:szCs w:val="24"/>
        </w:rPr>
        <w:t>винаяк</w:t>
      </w:r>
      <w:r>
        <w:rPr>
          <w:rFonts w:eastAsia="MingLiU;細明體" w:cs="Garamond" w:ascii="Garamond" w:hAnsi="Garamond"/>
          <w:sz w:val="24"/>
          <w:szCs w:val="24"/>
        </w:rPr>
        <w:t>, насылающих препятствия. Эти демоны обычно изображались с головой слона и человеческим телом. Именно в таком виде Ганеша затем был включен в индуистский пантеон наряду с другими божествами не-арийского происхождения — Рудрой и Шивой. Из злого духа, создающего препятствия, он превратился в благое божество, устраняющее препятствия. В этой ипостаси Ганеша стал известен и в Тибете, где его культ распространился благодаря влиянию тантрического буддизма Ваджраяны, куда Ганеша вошел наряду с другими индуистскими божествами. Сохранившиеся до наших дней эротические изображения Ганеши в образе Аджнавиниварта Ганапати (одно из которых находится в музее Кунсткамеры в Санкт-Петербурге), позволяет предположить, что ему поклонялись также как божеству, дарующему удачу, плодородие и богатство. С распространением буддизма Ваджраяны в Китае и в Японии культ божества со слоновьей головой приобрел особый эзотерический характер в этих странах. Благодаря китайским переводам Аттикуты текста «Дхаранисаммукья», получила распространение легенда о злом демоне Винаяке, усмиренном и обращенном в буддизм бодхисатвой Авалокитешварой (кит. Гуанинь, яп. Каннон), который, будучи божеством. принимающим и мужские и женские ипостаси, ради этого принял облик демоницы-</w:t>
      </w:r>
      <w:r>
        <w:rPr>
          <w:rFonts w:eastAsia="MingLiU;細明體" w:cs="Garamond" w:ascii="Garamond" w:hAnsi="Garamond"/>
          <w:i/>
          <w:sz w:val="24"/>
          <w:szCs w:val="24"/>
        </w:rPr>
        <w:t>винаяки</w:t>
      </w:r>
      <w:r>
        <w:rPr>
          <w:rFonts w:eastAsia="MingLiU;細明體" w:cs="Garamond" w:ascii="Garamond" w:hAnsi="Garamond"/>
          <w:sz w:val="24"/>
          <w:szCs w:val="24"/>
        </w:rPr>
        <w:t xml:space="preserve"> с головой слона. По этой причине в эзотерическом буддизме на Дальнем Востоке были известны как одиночные, так и парные изображения Ганеши в виде двух обнимающихся существ со слоновьими головами. В Японии подобные изображения получили название «Сосин Кангитэн». В местном эзотерическом буддизме </w:t>
      </w:r>
      <w:r>
        <w:rPr>
          <w:rFonts w:eastAsia="MingLiU;細明體" w:cs="Garamond" w:ascii="Garamond" w:hAnsi="Garamond"/>
          <w:i/>
          <w:sz w:val="24"/>
          <w:szCs w:val="24"/>
        </w:rPr>
        <w:t xml:space="preserve">миккё </w:t>
      </w:r>
      <w:r>
        <w:rPr>
          <w:rFonts w:eastAsia="MingLiU;細明體" w:cs="Garamond" w:ascii="Garamond" w:hAnsi="Garamond"/>
          <w:sz w:val="24"/>
          <w:szCs w:val="24"/>
        </w:rPr>
        <w:t xml:space="preserve">они интерпретировались как форма слияния противоположностей, мужского и женского начал, феноменального и абсолютного в виде двух сакральных мандал: «Алмазной мандалы» и «Мандалы Чрева». По этой причине Ганеша иногда считался воплощением основного почитаемого божества традиции миккё — Махавайрочаны Будды (яп. Дайнити Нёрай) и был известен как составной элемент другого эзотерического божества Матарадзин или Сантэн, представлявшего собой триаду божеств Сарасвати, Дакини и Ганеши. </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Ганеша в виде Сосин Кангитэн был известен и в народных религиозных культах периода Гэнроку (1688–1704) где почитался как божество богатства и плодородия, приносящее удачу и дарующее детей. </w:t>
      </w:r>
    </w:p>
    <w:p>
      <w:pPr>
        <w:pStyle w:val="Normal"/>
        <w:ind w:end="-31" w:firstLine="720"/>
        <w:jc w:val="both"/>
        <w:rPr/>
      </w:pPr>
      <w:r>
        <w:rPr>
          <w:rFonts w:eastAsia="MingLiU;細明體" w:cs="Garamond" w:ascii="Garamond" w:hAnsi="Garamond"/>
          <w:sz w:val="24"/>
          <w:szCs w:val="24"/>
        </w:rPr>
        <w:t>Таким образом, история культа Ганеши в Тибете, Китае и Японии, на мой взгляд, еще недостаточно исследованная, показывает, каким образом элементы индуистской религии сохранялись в традициях тантрического буддизма и как, по мере распространения этого религиозно-философского учения в странах Центральной Азии и Дальнего Востока, они постепенно становились частью местных религиозных и культурных традиций. Важно отметить, что в дальнейшем они начинали оказывать влияние не только на развитие философских доктрин в местных буддийских школах, но и на формирование народных религиозных верований.</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start="720" w:end="-31" w:hanging="720"/>
        <w:jc w:val="center"/>
        <w:rPr>
          <w:rFonts w:ascii="Garamond" w:hAnsi="Garamond" w:eastAsia="MingLiU;細明體" w:cs="Garamond"/>
          <w:sz w:val="24"/>
          <w:szCs w:val="24"/>
        </w:rPr>
      </w:pPr>
      <w:r>
        <w:rPr>
          <w:rFonts w:eastAsia="MingLiU;細明體" w:cs="Garamond" w:ascii="Garamond" w:hAnsi="Garamond"/>
          <w:sz w:val="24"/>
          <w:szCs w:val="24"/>
        </w:rPr>
        <w:t xml:space="preserve">Литература / </w:t>
      </w:r>
      <w:r>
        <w:rPr>
          <w:rFonts w:eastAsia="MingLiU;細明體" w:cs="Garamond" w:ascii="Garamond" w:hAnsi="Garamond"/>
          <w:sz w:val="24"/>
          <w:szCs w:val="24"/>
          <w:lang w:val="en-US"/>
        </w:rPr>
        <w:t>References</w:t>
      </w:r>
    </w:p>
    <w:p>
      <w:pPr>
        <w:pStyle w:val="Normal"/>
        <w:ind w:start="720" w:end="-31" w:hanging="720"/>
        <w:jc w:val="both"/>
        <w:rPr>
          <w:rFonts w:ascii="Garamond" w:hAnsi="Garamond" w:eastAsia="MingLiU;細明體" w:cs="Garamond"/>
          <w:sz w:val="8"/>
          <w:szCs w:val="8"/>
        </w:rPr>
      </w:pPr>
      <w:r>
        <w:rPr>
          <w:rFonts w:eastAsia="MingLiU;細明體" w:cs="Garamond" w:ascii="Garamond" w:hAnsi="Garamond"/>
          <w:sz w:val="8"/>
          <w:szCs w:val="8"/>
        </w:rPr>
      </w:r>
    </w:p>
    <w:p>
      <w:pPr>
        <w:pStyle w:val="Normal"/>
        <w:numPr>
          <w:ilvl w:val="0"/>
          <w:numId w:val="0"/>
        </w:numPr>
        <w:ind w:start="720" w:end="-31" w:hanging="720"/>
        <w:jc w:val="both"/>
        <w:outlineLvl w:val="0"/>
        <w:rPr/>
      </w:pPr>
      <w:r>
        <w:rPr>
          <w:rFonts w:eastAsia="MingLiU;細明體" w:cs="Garamond" w:ascii="Garamond" w:hAnsi="Garamond"/>
          <w:sz w:val="22"/>
          <w:szCs w:val="22"/>
        </w:rPr>
        <w:t xml:space="preserve">Григорьева Т. П. (ред.). </w:t>
      </w:r>
      <w:r>
        <w:rPr>
          <w:rFonts w:eastAsia="MingLiU;細明體" w:cs="Garamond" w:ascii="Garamond" w:hAnsi="Garamond"/>
          <w:i/>
          <w:sz w:val="22"/>
          <w:szCs w:val="22"/>
        </w:rPr>
        <w:t>Буддизм в Японии</w:t>
      </w:r>
      <w:r>
        <w:rPr>
          <w:rFonts w:eastAsia="MingLiU;細明體" w:cs="Garamond" w:ascii="Garamond" w:hAnsi="Garamond"/>
          <w:sz w:val="22"/>
          <w:szCs w:val="22"/>
        </w:rPr>
        <w:t>. М., 1993 [</w:t>
      </w:r>
      <w:r>
        <w:rPr>
          <w:rFonts w:eastAsia="MingLiU;細明體" w:cs="Garamond" w:ascii="Garamond" w:hAnsi="Garamond"/>
          <w:sz w:val="22"/>
          <w:szCs w:val="22"/>
          <w:lang w:val="it-IT"/>
        </w:rPr>
        <w:t>Grigoryeva</w:t>
      </w:r>
      <w:r>
        <w:rPr>
          <w:rFonts w:eastAsia="MingLiU;細明體" w:cs="Garamond" w:ascii="Garamond" w:hAnsi="Garamond"/>
          <w:sz w:val="22"/>
          <w:szCs w:val="22"/>
        </w:rPr>
        <w:t xml:space="preserve"> </w:t>
      </w:r>
      <w:r>
        <w:rPr>
          <w:rFonts w:eastAsia="MingLiU;細明體" w:cs="Garamond" w:ascii="Garamond" w:hAnsi="Garamond"/>
          <w:sz w:val="22"/>
          <w:szCs w:val="22"/>
          <w:lang w:val="it-IT"/>
        </w:rPr>
        <w:t>T</w:t>
      </w:r>
      <w:r>
        <w:rPr>
          <w:rFonts w:eastAsia="MingLiU;細明體" w:cs="Garamond" w:ascii="Garamond" w:hAnsi="Garamond"/>
          <w:sz w:val="22"/>
          <w:szCs w:val="22"/>
        </w:rPr>
        <w:t>.</w:t>
      </w:r>
      <w:r>
        <w:rPr>
          <w:rFonts w:eastAsia="MingLiU;細明體" w:cs="Garamond" w:ascii="Garamond" w:hAnsi="Garamond"/>
          <w:sz w:val="22"/>
          <w:szCs w:val="22"/>
          <w:lang w:val="it-IT"/>
        </w:rPr>
        <w:t> P</w:t>
      </w:r>
      <w:r>
        <w:rPr>
          <w:rFonts w:eastAsia="MingLiU;細明體" w:cs="Garamond" w:ascii="Garamond" w:hAnsi="Garamond"/>
          <w:sz w:val="22"/>
          <w:szCs w:val="22"/>
        </w:rPr>
        <w:t>. (</w:t>
      </w:r>
      <w:r>
        <w:rPr>
          <w:rFonts w:eastAsia="MingLiU;細明體" w:cs="Garamond" w:ascii="Garamond" w:hAnsi="Garamond"/>
          <w:sz w:val="22"/>
          <w:szCs w:val="22"/>
          <w:lang w:val="it-IT"/>
        </w:rPr>
        <w:t>ed</w:t>
      </w:r>
      <w:r>
        <w:rPr>
          <w:rFonts w:eastAsia="MingLiU;細明體" w:cs="Garamond" w:ascii="Garamond" w:hAnsi="Garamond"/>
          <w:sz w:val="22"/>
          <w:szCs w:val="22"/>
        </w:rPr>
        <w:t xml:space="preserve">.). </w:t>
      </w:r>
      <w:r>
        <w:rPr>
          <w:rFonts w:eastAsia="MingLiU;細明體" w:cs="Garamond" w:ascii="Garamond" w:hAnsi="Garamond"/>
          <w:i/>
          <w:sz w:val="22"/>
          <w:szCs w:val="22"/>
          <w:lang w:val="en-US"/>
        </w:rPr>
        <w:t>Buddhism</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in</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Japan</w:t>
      </w:r>
      <w:r>
        <w:rPr>
          <w:rFonts w:eastAsia="MingLiU;細明體" w:cs="Garamond" w:ascii="Garamond" w:hAnsi="Garamond"/>
          <w:sz w:val="22"/>
          <w:szCs w:val="22"/>
        </w:rPr>
        <w:t xml:space="preserve">. </w:t>
      </w:r>
      <w:r>
        <w:rPr>
          <w:rFonts w:eastAsia="MingLiU;細明體" w:cs="Garamond" w:ascii="Garamond" w:hAnsi="Garamond"/>
          <w:sz w:val="22"/>
          <w:szCs w:val="22"/>
          <w:lang w:val="en-US"/>
        </w:rPr>
        <w:t>Moscow</w:t>
      </w:r>
      <w:r>
        <w:rPr>
          <w:rFonts w:eastAsia="MingLiU;細明體" w:cs="Garamond" w:ascii="Garamond" w:hAnsi="Garamond"/>
          <w:sz w:val="22"/>
          <w:szCs w:val="22"/>
        </w:rPr>
        <w:t>, 1993 (</w:t>
      </w:r>
      <w:r>
        <w:rPr>
          <w:rFonts w:eastAsia="MingLiU;細明體" w:cs="Garamond" w:ascii="Garamond" w:hAnsi="Garamond"/>
          <w:sz w:val="22"/>
          <w:szCs w:val="22"/>
          <w:lang w:val="en-US"/>
        </w:rPr>
        <w:t>in</w:t>
      </w:r>
      <w:r>
        <w:rPr>
          <w:rFonts w:eastAsia="MingLiU;細明體" w:cs="Garamond" w:ascii="Garamond" w:hAnsi="Garamond"/>
          <w:sz w:val="22"/>
          <w:szCs w:val="22"/>
        </w:rPr>
        <w:t xml:space="preserve"> </w:t>
      </w:r>
      <w:r>
        <w:rPr>
          <w:rFonts w:eastAsia="MingLiU;細明體" w:cs="Garamond" w:ascii="Garamond" w:hAnsi="Garamond"/>
          <w:sz w:val="22"/>
          <w:szCs w:val="22"/>
          <w:lang w:val="en-US"/>
        </w:rPr>
        <w:t>Russian</w:t>
      </w:r>
      <w:r>
        <w:rPr>
          <w:rFonts w:eastAsia="MingLiU;細明體" w:cs="Garamond" w:ascii="Garamond" w:hAnsi="Garamond"/>
          <w:sz w:val="22"/>
          <w:szCs w:val="22"/>
        </w:rPr>
        <w:t>)].</w:t>
      </w:r>
    </w:p>
    <w:p>
      <w:pPr>
        <w:pStyle w:val="Normal"/>
        <w:numPr>
          <w:ilvl w:val="0"/>
          <w:numId w:val="0"/>
        </w:numPr>
        <w:ind w:start="720" w:end="-31" w:hanging="720"/>
        <w:jc w:val="both"/>
        <w:outlineLvl w:val="0"/>
        <w:rPr/>
      </w:pPr>
      <w:r>
        <w:rPr>
          <w:rFonts w:eastAsia="MingLiU;細明體" w:cs="Garamond" w:ascii="Garamond" w:hAnsi="Garamond"/>
          <w:sz w:val="22"/>
          <w:szCs w:val="22"/>
        </w:rPr>
        <w:t xml:space="preserve">Иванов Д. В. </w:t>
      </w:r>
      <w:r>
        <w:rPr>
          <w:rFonts w:eastAsia="MingLiU;細明體" w:cs="Garamond" w:ascii="Garamond" w:hAnsi="Garamond"/>
          <w:iCs/>
          <w:sz w:val="22"/>
          <w:szCs w:val="22"/>
        </w:rPr>
        <w:t>Редкое изображение Ганеши в буддийских коллекциях Кунсткамеры.</w:t>
      </w:r>
      <w:r>
        <w:rPr>
          <w:rFonts w:eastAsia="MingLiU;細明體" w:cs="Garamond" w:ascii="Garamond" w:hAnsi="Garamond"/>
          <w:sz w:val="22"/>
          <w:szCs w:val="22"/>
        </w:rPr>
        <w:t xml:space="preserve"> </w:t>
      </w:r>
      <w:r>
        <w:rPr>
          <w:rFonts w:eastAsia="MingLiU;細明體" w:cs="Garamond" w:ascii="Garamond" w:hAnsi="Garamond"/>
          <w:bCs/>
          <w:i/>
          <w:kern w:val="2"/>
          <w:sz w:val="22"/>
          <w:szCs w:val="22"/>
        </w:rPr>
        <w:t xml:space="preserve">Азиатский бестиарий. </w:t>
      </w:r>
      <w:r>
        <w:rPr>
          <w:rFonts w:eastAsia="MingLiU;細明體" w:cs="Garamond" w:ascii="Garamond" w:hAnsi="Garamond"/>
          <w:bCs/>
          <w:i/>
          <w:sz w:val="22"/>
          <w:szCs w:val="22"/>
        </w:rPr>
        <w:t>Образы животных в традициях Южной, Юго-Западной и Центральной Азии.</w:t>
      </w:r>
      <w:r>
        <w:rPr>
          <w:rFonts w:eastAsia="MingLiU;細明體" w:cs="Garamond" w:ascii="Garamond" w:hAnsi="Garamond"/>
          <w:sz w:val="22"/>
          <w:szCs w:val="22"/>
        </w:rPr>
        <w:t xml:space="preserve"> СПб</w:t>
      </w:r>
      <w:r>
        <w:rPr>
          <w:rFonts w:eastAsia="MingLiU;細明體" w:cs="Garamond" w:ascii="Garamond" w:hAnsi="Garamond"/>
          <w:sz w:val="22"/>
          <w:szCs w:val="22"/>
          <w:lang w:val="en-US"/>
        </w:rPr>
        <w:t xml:space="preserve">, 2009. </w:t>
      </w:r>
      <w:r>
        <w:rPr>
          <w:rFonts w:eastAsia="MingLiU;細明體" w:cs="Garamond" w:ascii="Garamond" w:hAnsi="Garamond"/>
          <w:sz w:val="22"/>
          <w:szCs w:val="22"/>
        </w:rPr>
        <w:t>С</w:t>
      </w:r>
      <w:r>
        <w:rPr>
          <w:rFonts w:eastAsia="MingLiU;細明體" w:cs="Garamond" w:ascii="Garamond" w:hAnsi="Garamond"/>
          <w:sz w:val="22"/>
          <w:szCs w:val="22"/>
          <w:lang w:val="en-US"/>
        </w:rPr>
        <w:t xml:space="preserve">. 96–101 [Ivanov D. V. The Rare Image of Ganesha in Buddhist Collections of Kunstkamera. </w:t>
      </w:r>
      <w:r>
        <w:rPr>
          <w:rFonts w:eastAsia="MingLiU;細明體" w:cs="Garamond" w:ascii="Garamond" w:hAnsi="Garamond"/>
          <w:i/>
          <w:iCs/>
          <w:sz w:val="22"/>
          <w:szCs w:val="22"/>
          <w:lang w:val="en-US"/>
        </w:rPr>
        <w:t>The Asian Bestiary. The images of animals in traditions of South, South-West and Central Asia</w:t>
      </w:r>
      <w:r>
        <w:rPr>
          <w:rFonts w:eastAsia="MingLiU;細明體" w:cs="Garamond" w:ascii="Garamond" w:hAnsi="Garamond"/>
          <w:sz w:val="22"/>
          <w:szCs w:val="22"/>
          <w:lang w:val="en-US"/>
        </w:rPr>
        <w:t>. Saint Petersburg, 2009. Pp. 96–101 (in Russian)].</w:t>
      </w:r>
    </w:p>
    <w:p>
      <w:pPr>
        <w:pStyle w:val="Normal"/>
        <w:numPr>
          <w:ilvl w:val="0"/>
          <w:numId w:val="0"/>
        </w:numPr>
        <w:ind w:start="720" w:end="-31" w:hanging="720"/>
        <w:jc w:val="both"/>
        <w:outlineLvl w:val="0"/>
        <w:rPr>
          <w:rFonts w:ascii="Garamond" w:hAnsi="Garamond" w:eastAsia="MingLiU;細明體" w:cs="Garamond"/>
          <w:i/>
          <w:i/>
          <w:iCs/>
          <w:sz w:val="22"/>
          <w:szCs w:val="22"/>
          <w:lang w:val="en-US"/>
        </w:rPr>
      </w:pPr>
      <w:r>
        <w:rPr>
          <w:rFonts w:eastAsia="MingLiU;細明體" w:cs="Garamond" w:ascii="Garamond" w:hAnsi="Garamond"/>
          <w:sz w:val="22"/>
          <w:szCs w:val="22"/>
        </w:rPr>
        <w:t>Трубникова</w:t>
      </w:r>
      <w:r>
        <w:rPr>
          <w:rFonts w:eastAsia="MingLiU;細明體" w:cs="Garamond" w:ascii="Garamond" w:hAnsi="Garamond"/>
          <w:sz w:val="22"/>
          <w:szCs w:val="22"/>
          <w:lang w:val="en-US"/>
        </w:rPr>
        <w:t> </w:t>
      </w:r>
      <w:r>
        <w:rPr>
          <w:rFonts w:eastAsia="MingLiU;細明體" w:cs="Garamond" w:ascii="Garamond" w:hAnsi="Garamond"/>
          <w:sz w:val="22"/>
          <w:szCs w:val="22"/>
        </w:rPr>
        <w:t>Н</w:t>
      </w:r>
      <w:r>
        <w:rPr>
          <w:rFonts w:eastAsia="MingLiU;細明體" w:cs="Garamond" w:ascii="Garamond" w:hAnsi="Garamond"/>
          <w:sz w:val="22"/>
          <w:szCs w:val="22"/>
          <w:lang w:val="en-US"/>
        </w:rPr>
        <w:t>. </w:t>
      </w:r>
      <w:r>
        <w:rPr>
          <w:rFonts w:eastAsia="MingLiU;細明體" w:cs="Garamond" w:ascii="Garamond" w:hAnsi="Garamond"/>
          <w:sz w:val="22"/>
          <w:szCs w:val="22"/>
        </w:rPr>
        <w:t>Н</w:t>
      </w:r>
      <w:r>
        <w:rPr>
          <w:rFonts w:eastAsia="MingLiU;細明體" w:cs="Garamond" w:ascii="Garamond" w:hAnsi="Garamond"/>
          <w:sz w:val="22"/>
          <w:szCs w:val="22"/>
          <w:lang w:val="en-US"/>
        </w:rPr>
        <w:t>. «</w:t>
      </w:r>
      <w:r>
        <w:rPr>
          <w:rFonts w:eastAsia="MingLiU;細明體" w:cs="Garamond" w:ascii="Garamond" w:hAnsi="Garamond"/>
          <w:i/>
          <w:sz w:val="22"/>
          <w:szCs w:val="22"/>
        </w:rPr>
        <w:t>Различение</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учений</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в</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японском</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буддизме</w:t>
      </w:r>
      <w:r>
        <w:rPr>
          <w:rFonts w:eastAsia="MingLiU;細明體" w:cs="Garamond" w:ascii="Garamond" w:hAnsi="Garamond"/>
          <w:i/>
          <w:sz w:val="22"/>
          <w:szCs w:val="22"/>
          <w:lang w:val="en-US"/>
        </w:rPr>
        <w:t xml:space="preserve"> IX </w:t>
      </w:r>
      <w:r>
        <w:rPr>
          <w:rFonts w:eastAsia="MingLiU;細明體" w:cs="Garamond" w:ascii="Garamond" w:hAnsi="Garamond"/>
          <w:i/>
          <w:sz w:val="22"/>
          <w:szCs w:val="22"/>
        </w:rPr>
        <w:t>в</w:t>
      </w:r>
      <w:r>
        <w:rPr>
          <w:rFonts w:eastAsia="MingLiU;細明體" w:cs="Garamond" w:ascii="Garamond" w:hAnsi="Garamond"/>
          <w:i/>
          <w:sz w:val="22"/>
          <w:szCs w:val="22"/>
          <w:lang w:val="en-US"/>
        </w:rPr>
        <w:t>.,</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xml:space="preserve">., 2000 [Trubnikova N. N. </w:t>
      </w:r>
      <w:r>
        <w:rPr>
          <w:rFonts w:eastAsia="MingLiU;細明體" w:cs="Garamond" w:ascii="Garamond" w:hAnsi="Garamond"/>
          <w:i/>
          <w:iCs/>
          <w:sz w:val="22"/>
          <w:szCs w:val="22"/>
          <w:lang w:val="en-US"/>
        </w:rPr>
        <w:t>“The Discernment of Doctrines” in the Japanese Buddhism of 9</w:t>
      </w:r>
      <w:r>
        <w:rPr>
          <w:rFonts w:eastAsia="MingLiU;細明體" w:cs="Garamond" w:ascii="Garamond" w:hAnsi="Garamond"/>
          <w:i/>
          <w:iCs/>
          <w:sz w:val="22"/>
          <w:szCs w:val="22"/>
          <w:vertAlign w:val="superscript"/>
          <w:lang w:val="en-US"/>
        </w:rPr>
        <w:t>th</w:t>
      </w:r>
      <w:r>
        <w:rPr>
          <w:rFonts w:eastAsia="MingLiU;細明體" w:cs="Garamond" w:ascii="Garamond" w:hAnsi="Garamond"/>
          <w:i/>
          <w:iCs/>
          <w:sz w:val="22"/>
          <w:szCs w:val="22"/>
          <w:lang w:val="en-US"/>
        </w:rPr>
        <w:t xml:space="preserve"> c.</w:t>
      </w:r>
      <w:r>
        <w:rPr>
          <w:rFonts w:eastAsia="MingLiU;細明體" w:cs="Garamond" w:ascii="Garamond" w:hAnsi="Garamond"/>
          <w:sz w:val="22"/>
          <w:szCs w:val="22"/>
          <w:lang w:val="en-US"/>
        </w:rPr>
        <w:t xml:space="preserve"> Moscow, 2000 (in Russian)].</w:t>
      </w:r>
    </w:p>
    <w:p>
      <w:pPr>
        <w:pStyle w:val="Normal"/>
        <w:ind w:start="720" w:end="-31" w:hanging="720"/>
        <w:jc w:val="both"/>
        <w:rPr/>
      </w:pPr>
      <w:r>
        <w:rPr>
          <w:rFonts w:eastAsia="MingLiU;細明體" w:cs="Garamond" w:ascii="Garamond" w:hAnsi="Garamond"/>
          <w:sz w:val="22"/>
          <w:szCs w:val="22"/>
        </w:rPr>
        <w:t>Фесюн А.</w:t>
      </w:r>
      <w:r>
        <w:rPr>
          <w:rFonts w:eastAsia="MingLiU;細明體" w:cs="Garamond" w:ascii="Garamond" w:hAnsi="Garamond"/>
          <w:sz w:val="22"/>
          <w:szCs w:val="22"/>
          <w:lang w:val="en-US"/>
        </w:rPr>
        <w:t> </w:t>
      </w:r>
      <w:r>
        <w:rPr>
          <w:rFonts w:eastAsia="MingLiU;細明體" w:cs="Garamond" w:ascii="Garamond" w:hAnsi="Garamond"/>
          <w:sz w:val="22"/>
          <w:szCs w:val="22"/>
        </w:rPr>
        <w:t xml:space="preserve">Г. </w:t>
      </w:r>
      <w:r>
        <w:rPr>
          <w:rFonts w:eastAsia="MingLiU;細明體" w:cs="Garamond" w:ascii="Garamond" w:hAnsi="Garamond"/>
          <w:i/>
          <w:sz w:val="22"/>
          <w:szCs w:val="22"/>
        </w:rPr>
        <w:t>Буддийский эзотеризм</w:t>
      </w:r>
      <w:r>
        <w:rPr>
          <w:rFonts w:eastAsia="MingLiU;細明體" w:cs="Garamond" w:ascii="Garamond" w:hAnsi="Garamond"/>
          <w:sz w:val="22"/>
          <w:szCs w:val="22"/>
        </w:rPr>
        <w:t xml:space="preserve">. </w:t>
      </w:r>
      <w:r>
        <w:rPr>
          <w:rFonts w:eastAsia="MingLiU;細明體" w:cs="Garamond" w:ascii="Garamond" w:hAnsi="Garamond"/>
          <w:i/>
          <w:sz w:val="22"/>
          <w:szCs w:val="22"/>
        </w:rPr>
        <w:t>Кукай</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Избранные</w:t>
      </w:r>
      <w:r>
        <w:rPr>
          <w:rFonts w:eastAsia="MingLiU;細明體" w:cs="Garamond" w:ascii="Garamond" w:hAnsi="Garamond"/>
          <w:i/>
          <w:sz w:val="22"/>
          <w:szCs w:val="22"/>
          <w:lang w:val="en-US"/>
        </w:rPr>
        <w:t xml:space="preserve"> </w:t>
      </w:r>
      <w:r>
        <w:rPr>
          <w:rFonts w:eastAsia="MingLiU;細明體" w:cs="Garamond" w:ascii="Garamond" w:hAnsi="Garamond"/>
          <w:i/>
          <w:sz w:val="22"/>
          <w:szCs w:val="22"/>
        </w:rPr>
        <w:t>труды</w:t>
      </w:r>
      <w:r>
        <w:rPr>
          <w:rFonts w:eastAsia="MingLiU;細明體" w:cs="Garamond" w:ascii="Garamond" w:hAnsi="Garamond"/>
          <w:i/>
          <w:sz w:val="22"/>
          <w:szCs w:val="22"/>
          <w:lang w:val="en-US"/>
        </w:rPr>
        <w:t>.</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xml:space="preserve">., 1999 [Fesun A. G. </w:t>
      </w:r>
      <w:r>
        <w:rPr>
          <w:rFonts w:eastAsia="MingLiU;細明體" w:cs="Garamond" w:ascii="Garamond" w:hAnsi="Garamond"/>
          <w:i/>
          <w:iCs/>
          <w:sz w:val="22"/>
          <w:szCs w:val="22"/>
          <w:lang w:val="en-US"/>
        </w:rPr>
        <w:t>The Buddhist Esoterism. Kukai. Selected Works.</w:t>
      </w:r>
      <w:r>
        <w:rPr>
          <w:rFonts w:eastAsia="MingLiU;細明體" w:cs="Garamond" w:ascii="Garamond" w:hAnsi="Garamond"/>
          <w:sz w:val="22"/>
          <w:szCs w:val="22"/>
          <w:lang w:val="en-US"/>
        </w:rPr>
        <w:t xml:space="preserve"> Moscow, 1999 (in Russian)].</w:t>
      </w:r>
    </w:p>
    <w:p>
      <w:pPr>
        <w:pStyle w:val="Normal"/>
        <w:ind w:start="720" w:end="-31" w:hanging="720"/>
        <w:jc w:val="both"/>
        <w:rPr>
          <w:rFonts w:ascii="Garamond" w:hAnsi="Garamond" w:eastAsia="MingLiU;細明體" w:cs="Garamond"/>
          <w:sz w:val="22"/>
          <w:szCs w:val="22"/>
          <w:lang w:val="en-US"/>
        </w:rPr>
      </w:pPr>
      <w:r>
        <w:rPr>
          <w:rFonts w:eastAsia="MingLiU;細明體" w:cs="Garamond" w:ascii="Garamond" w:hAnsi="Garamond"/>
          <w:sz w:val="22"/>
          <w:szCs w:val="22"/>
          <w:lang w:val="en-US"/>
        </w:rPr>
        <w:t xml:space="preserve">Bühnemann G. </w:t>
      </w:r>
      <w:r>
        <w:rPr>
          <w:rFonts w:eastAsia="MingLiU;細明體" w:cs="Garamond" w:ascii="Garamond" w:hAnsi="Garamond"/>
          <w:iCs/>
          <w:sz w:val="22"/>
          <w:szCs w:val="22"/>
          <w:lang w:val="en-US"/>
        </w:rPr>
        <w:t>Erotic Forms of Gaņeśa in Hindu and Buddhist Iconography.</w:t>
      </w:r>
      <w:r>
        <w:rPr>
          <w:rFonts w:eastAsia="MingLiU;細明體" w:cs="Garamond" w:ascii="Garamond" w:hAnsi="Garamond"/>
          <w:i/>
          <w:sz w:val="22"/>
          <w:szCs w:val="22"/>
          <w:lang w:val="en-US"/>
        </w:rPr>
        <w:t xml:space="preserve"> </w:t>
      </w:r>
      <w:r>
        <w:rPr>
          <w:rFonts w:eastAsia="MingLiU;細明體" w:cs="Garamond" w:ascii="Garamond" w:hAnsi="Garamond"/>
          <w:sz w:val="22"/>
          <w:szCs w:val="22"/>
          <w:lang w:val="en-US"/>
        </w:rPr>
        <w:t xml:space="preserve">Gail A. J., Mevissen G. J. R., Salomon R. </w:t>
      </w:r>
      <w:r>
        <w:rPr>
          <w:rFonts w:eastAsia="MingLiU;細明體" w:cs="Garamond" w:ascii="Garamond" w:hAnsi="Garamond"/>
          <w:i/>
          <w:sz w:val="22"/>
          <w:szCs w:val="22"/>
          <w:lang w:val="en-US"/>
        </w:rPr>
        <w:t>Script and Image: Papers on Art and Epigraphy</w:t>
      </w:r>
      <w:r>
        <w:rPr>
          <w:rFonts w:eastAsia="MingLiU;細明體" w:cs="Garamond" w:ascii="Garamond" w:hAnsi="Garamond"/>
          <w:sz w:val="22"/>
          <w:szCs w:val="22"/>
          <w:lang w:val="en-US"/>
        </w:rPr>
        <w:t>. Delhi, 2006. Pp. 15–28.</w:t>
      </w:r>
    </w:p>
    <w:p>
      <w:pPr>
        <w:pStyle w:val="Normal"/>
        <w:ind w:start="720" w:end="-31" w:hanging="720"/>
        <w:jc w:val="both"/>
        <w:rPr>
          <w:rFonts w:ascii="Garamond" w:hAnsi="Garamond" w:eastAsia="MingLiU;細明體" w:cs="Garamond"/>
          <w:sz w:val="22"/>
          <w:szCs w:val="22"/>
        </w:rPr>
      </w:pPr>
      <w:r>
        <w:rPr>
          <w:rFonts w:eastAsia="MingLiU;細明體" w:cs="Garamond" w:ascii="Garamond" w:hAnsi="Garamond"/>
          <w:sz w:val="22"/>
          <w:szCs w:val="22"/>
          <w:lang w:val="en-US"/>
        </w:rPr>
        <w:t xml:space="preserve">Faure B. </w:t>
      </w:r>
      <w:r>
        <w:rPr>
          <w:rFonts w:eastAsia="MingLiU;細明體" w:cs="Garamond" w:ascii="Garamond" w:hAnsi="Garamond"/>
          <w:iCs/>
          <w:sz w:val="22"/>
          <w:szCs w:val="22"/>
          <w:lang w:val="en-US"/>
        </w:rPr>
        <w:t>The Impact of Tantrism on Japanese Religious Traditions: The Cult of the Three Devas</w:t>
      </w:r>
      <w:r>
        <w:rPr>
          <w:rFonts w:eastAsia="MingLiU;細明體" w:cs="Garamond" w:ascii="Garamond" w:hAnsi="Garamond"/>
          <w:i/>
          <w:sz w:val="22"/>
          <w:szCs w:val="22"/>
          <w:lang w:val="en-US"/>
        </w:rPr>
        <w:t xml:space="preserve">. </w:t>
      </w:r>
      <w:r>
        <w:rPr>
          <w:rFonts w:eastAsia="MingLiU;細明體" w:cs="Garamond" w:ascii="Garamond" w:hAnsi="Garamond"/>
          <w:sz w:val="22"/>
          <w:szCs w:val="22"/>
          <w:lang w:val="en-US"/>
        </w:rPr>
        <w:t xml:space="preserve">Keul I. (ed.). </w:t>
      </w:r>
      <w:r>
        <w:rPr>
          <w:rFonts w:eastAsia="MingLiU;細明體" w:cs="Garamond" w:ascii="Garamond" w:hAnsi="Garamond"/>
          <w:i/>
          <w:sz w:val="22"/>
          <w:szCs w:val="22"/>
          <w:lang w:val="en-US"/>
        </w:rPr>
        <w:t>Transformations and Transfer of Tantra in Asia and Beyond</w:t>
      </w:r>
      <w:r>
        <w:rPr>
          <w:rFonts w:eastAsia="MingLiU;細明體" w:cs="Garamond" w:ascii="Garamond" w:hAnsi="Garamond"/>
          <w:sz w:val="22"/>
          <w:szCs w:val="22"/>
          <w:lang w:val="en-US"/>
        </w:rPr>
        <w:t>. Berlin, 2012. Pp. 339–410</w:t>
      </w:r>
      <w:r>
        <w:rPr>
          <w:rFonts w:eastAsia="MingLiU;細明體" w:cs="Garamond" w:ascii="Garamond" w:hAnsi="Garamond"/>
          <w:sz w:val="22"/>
          <w:szCs w:val="22"/>
        </w:rPr>
        <w:t>.</w:t>
      </w:r>
    </w:p>
    <w:p>
      <w:pPr>
        <w:pStyle w:val="Normal"/>
        <w:ind w:start="720" w:end="-31" w:hanging="720"/>
        <w:jc w:val="both"/>
        <w:rPr>
          <w:rFonts w:ascii="Garamond" w:hAnsi="Garamond" w:eastAsia="MingLiU;細明體" w:cs="Garamond"/>
          <w:sz w:val="22"/>
          <w:szCs w:val="22"/>
          <w:lang w:val="en-US"/>
        </w:rPr>
      </w:pPr>
      <w:r>
        <w:rPr>
          <w:rFonts w:eastAsia="MingLiU;細明體" w:cs="Garamond" w:ascii="Garamond" w:hAnsi="Garamond"/>
          <w:sz w:val="22"/>
          <w:szCs w:val="22"/>
          <w:lang w:val="en-US"/>
        </w:rPr>
        <w:t xml:space="preserve">Lancaster L. R. </w:t>
      </w:r>
      <w:r>
        <w:rPr>
          <w:rFonts w:eastAsia="MingLiU;細明體" w:cs="Garamond" w:ascii="Garamond" w:hAnsi="Garamond"/>
          <w:iCs/>
          <w:sz w:val="22"/>
          <w:szCs w:val="22"/>
          <w:lang w:val="en-US"/>
        </w:rPr>
        <w:t>Ga</w:t>
      </w:r>
      <w:r>
        <w:rPr>
          <w:rFonts w:eastAsia="MingLiU;細明體" w:cs="Gandhari Unicode" w:ascii="Garamond" w:hAnsi="Garamond"/>
          <w:iCs/>
          <w:sz w:val="18"/>
          <w:szCs w:val="18"/>
          <w:lang w:val="en-US"/>
        </w:rPr>
        <w:t>ṇ</w:t>
      </w:r>
      <w:r>
        <w:rPr>
          <w:rFonts w:eastAsia="MingLiU;細明體" w:cs="Garamond" w:ascii="Garamond" w:hAnsi="Garamond"/>
          <w:iCs/>
          <w:sz w:val="22"/>
          <w:szCs w:val="22"/>
          <w:lang w:val="en-US"/>
        </w:rPr>
        <w:t>eśa in China: Methods of Transforming the Demonic</w:t>
      </w:r>
      <w:r>
        <w:rPr>
          <w:rFonts w:eastAsia="MingLiU;細明體" w:cs="Garamond" w:ascii="Garamond" w:hAnsi="Garamond"/>
          <w:i/>
          <w:sz w:val="22"/>
          <w:szCs w:val="22"/>
          <w:lang w:val="en-US"/>
        </w:rPr>
        <w:t>.</w:t>
      </w:r>
      <w:r>
        <w:rPr>
          <w:rFonts w:eastAsia="MingLiU;細明體" w:cs="Garamond" w:ascii="Garamond" w:hAnsi="Garamond"/>
          <w:sz w:val="22"/>
          <w:szCs w:val="22"/>
          <w:lang w:val="en-US"/>
        </w:rPr>
        <w:t xml:space="preserve"> Brown R. L. (ed). </w:t>
      </w:r>
      <w:r>
        <w:rPr>
          <w:rFonts w:eastAsia="MingLiU;細明體" w:cs="Garamond" w:ascii="Garamond" w:hAnsi="Garamond"/>
          <w:i/>
          <w:sz w:val="22"/>
          <w:szCs w:val="22"/>
          <w:lang w:val="en-US"/>
        </w:rPr>
        <w:t>Ganesh: Studies of an Asian God</w:t>
      </w:r>
      <w:r>
        <w:rPr>
          <w:rFonts w:eastAsia="MingLiU;細明體" w:cs="Garamond" w:ascii="Garamond" w:hAnsi="Garamond"/>
          <w:sz w:val="22"/>
          <w:szCs w:val="22"/>
          <w:lang w:val="en-US"/>
        </w:rPr>
        <w:t>. Albany, 1991. Pp.171–234.</w:t>
      </w:r>
    </w:p>
    <w:p>
      <w:pPr>
        <w:pStyle w:val="Normal"/>
        <w:ind w:start="720" w:end="-31" w:hanging="720"/>
        <w:jc w:val="both"/>
        <w:rPr/>
      </w:pPr>
      <w:r>
        <w:rPr>
          <w:rFonts w:eastAsia="MingLiU;細明體" w:cs="Garamond" w:ascii="Garamond" w:hAnsi="Garamond"/>
          <w:sz w:val="22"/>
          <w:szCs w:val="22"/>
          <w:lang w:val="en-US"/>
        </w:rPr>
        <w:t xml:space="preserve">Rosseels L. </w:t>
      </w:r>
      <w:r>
        <w:rPr>
          <w:rFonts w:eastAsia="MingLiU;細明體" w:cs="Garamond" w:ascii="Garamond" w:hAnsi="Garamond"/>
          <w:i/>
          <w:sz w:val="22"/>
          <w:szCs w:val="22"/>
          <w:lang w:val="en-US"/>
        </w:rPr>
        <w:t>Ga</w:t>
      </w:r>
      <w:r>
        <w:rPr>
          <w:rFonts w:eastAsia="MingLiU;細明體" w:cs="Gandhari Unicode" w:ascii="Garamond" w:hAnsi="Garamond"/>
          <w:i/>
          <w:sz w:val="18"/>
          <w:szCs w:val="18"/>
          <w:lang w:val="en-US"/>
        </w:rPr>
        <w:t>ṇ</w:t>
      </w:r>
      <w:r>
        <w:rPr>
          <w:rFonts w:eastAsia="MingLiU;細明體" w:cs="Garamond" w:ascii="Garamond" w:hAnsi="Garamond"/>
          <w:i/>
          <w:sz w:val="22"/>
          <w:szCs w:val="22"/>
          <w:lang w:val="en-US"/>
        </w:rPr>
        <w:t>eśa’s Underbelly: From Hindu Goblin God to Japanese Tantric Twosome.</w:t>
      </w:r>
      <w:r>
        <w:rPr>
          <w:rFonts w:eastAsia="MingLiU;細明體" w:cs="Garamond" w:ascii="Garamond" w:hAnsi="Garamond"/>
          <w:sz w:val="22"/>
          <w:szCs w:val="22"/>
          <w:lang w:val="en-US"/>
        </w:rPr>
        <w:t xml:space="preserve"> Gent, 2015.</w:t>
      </w:r>
    </w:p>
    <w:sectPr>
      <w:headerReference w:type="default" r:id="rId18"/>
      <w:footerReference w:type="default" r:id="rId19"/>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Calibri Light">
    <w:altName w:val="Arial"/>
    <w:charset w:val="00" w:characterSet="windows-1252"/>
    <w:family w:val="swiss"/>
    <w:pitch w:val="variable"/>
  </w:font>
  <w:font w:name="Times">
    <w:altName w:val="Times New Roman"/>
    <w:charset w:val="00" w:characterSet="windows-1252"/>
    <w:family w:val="roman"/>
    <w:pitch w:val="variable"/>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3">
              <wp:simplePos x="0" y="0"/>
              <wp:positionH relativeFrom="margin">
                <wp:align>center</wp:align>
              </wp:positionH>
              <wp:positionV relativeFrom="paragraph">
                <wp:posOffset>635</wp:posOffset>
              </wp:positionV>
              <wp:extent cx="178435" cy="162560"/>
              <wp:effectExtent l="0" t="0" r="0" b="0"/>
              <wp:wrapSquare wrapText="largest"/>
              <wp:docPr id="1" name="Врезка6"/>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34</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34</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31">
              <wp:simplePos x="0" y="0"/>
              <wp:positionH relativeFrom="margin">
                <wp:align>center</wp:align>
              </wp:positionH>
              <wp:positionV relativeFrom="paragraph">
                <wp:posOffset>635</wp:posOffset>
              </wp:positionV>
              <wp:extent cx="178435" cy="162560"/>
              <wp:effectExtent l="0" t="0" r="0" b="0"/>
              <wp:wrapSquare wrapText="largest"/>
              <wp:docPr id="17" name="Врезка7"/>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7"/>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52</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7"/>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52</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end="-31" w:hanging="0"/>
        <w:jc w:val="both"/>
        <w:rPr>
          <w:rFonts w:ascii="Garamond" w:hAnsi="Garamond" w:cs="Garamond"/>
        </w:rPr>
      </w:pPr>
      <w:r>
        <w:rPr>
          <w:rStyle w:val="Style14"/>
        </w:rPr>
        <w:footnoteRef/>
      </w:r>
      <w:r>
        <w:rPr>
          <w:rFonts w:eastAsia="Garamond" w:cs="Garamond" w:ascii="Garamond" w:hAnsi="Garamond"/>
        </w:rPr>
        <w:tab/>
        <w:t xml:space="preserve"> </w:t>
      </w:r>
      <w:r>
        <w:rPr>
          <w:rFonts w:cs="Garamond" w:ascii="Garamond" w:hAnsi="Garamond"/>
        </w:rPr>
        <w:t xml:space="preserve">Елена Сергеевна ЛЕПЕХОВА, доктор философских наук, старший научный сотрудник Института востоковедения РАН, Москва; </w:t>
      </w:r>
      <w:r>
        <w:rPr>
          <w:rFonts w:cs="Garamond" w:ascii="Garamond" w:hAnsi="Garamond"/>
          <w:lang w:val="en-US"/>
        </w:rPr>
        <w:t>lenalepekhova</w:t>
      </w:r>
      <w:r>
        <w:rPr>
          <w:rFonts w:cs="Garamond" w:ascii="Garamond" w:hAnsi="Garamond"/>
        </w:rPr>
        <w:t>@</w:t>
      </w:r>
      <w:r>
        <w:rPr>
          <w:rFonts w:cs="Garamond" w:ascii="Garamond" w:hAnsi="Garamond"/>
          <w:lang w:val="en-US"/>
        </w:rPr>
        <w:t>yandex</w:t>
      </w:r>
      <w:r>
        <w:rPr>
          <w:rFonts w:cs="Garamond" w:ascii="Garamond" w:hAnsi="Garamond"/>
        </w:rPr>
        <w:t>.</w:t>
      </w:r>
      <w:r>
        <w:rPr>
          <w:rFonts w:cs="Garamond" w:ascii="Garamond" w:hAnsi="Garamond"/>
          <w:lang w:val="en-US"/>
        </w:rPr>
        <w:t>ru</w:t>
      </w:r>
    </w:p>
    <w:p>
      <w:pPr>
        <w:pStyle w:val="Normal"/>
        <w:ind w:end="-31" w:hanging="0"/>
        <w:jc w:val="both"/>
        <w:rPr/>
      </w:pPr>
      <w:r>
        <w:rPr>
          <w:rFonts w:eastAsia="Garamond" w:cs="Garamond" w:ascii="Garamond" w:hAnsi="Garamond"/>
        </w:rPr>
        <w:tab/>
        <w:t xml:space="preserve">   </w:t>
      </w:r>
      <w:r>
        <w:rPr>
          <w:rFonts w:cs="Garamond" w:ascii="Garamond" w:hAnsi="Garamond"/>
          <w:lang w:val="en-US"/>
        </w:rPr>
        <w:t>Elena S. LEPEKHOVA, DSc (Philosophy), Senior Research Fellow, Institute of Oriental Studies RAS, Moscow; lenalepekhova@yandex.ru</w:t>
      </w:r>
    </w:p>
    <w:p>
      <w:pPr>
        <w:pStyle w:val="Normal"/>
        <w:ind w:end="-31" w:hanging="0"/>
        <w:jc w:val="both"/>
        <w:rPr>
          <w:rFonts w:ascii="Garamond" w:hAnsi="Garamond" w:cs="Garamond"/>
        </w:rPr>
      </w:pPr>
      <w:r>
        <w:rPr>
          <w:rFonts w:eastAsia="Garamond" w:cs="Garamond" w:ascii="Garamond" w:hAnsi="Garamond"/>
          <w:lang w:val="en-US"/>
        </w:rPr>
        <w:tab/>
        <w:t xml:space="preserve">   </w:t>
      </w:r>
      <w:r>
        <w:rPr>
          <w:rFonts w:cs="Garamond" w:ascii="Garamond" w:hAnsi="Garamond"/>
          <w:lang w:val="en-US"/>
        </w:rPr>
        <w:t xml:space="preserve">ORCID ID: </w:t>
      </w:r>
      <w:hyperlink r:id="rId1" w:tgtFrame="_blank">
        <w:r>
          <w:rPr>
            <w:rStyle w:val="Style15"/>
            <w:rFonts w:eastAsia="MS Gothic;ＭＳ ゴシック" w:cs="Garamond" w:ascii="Garamond" w:hAnsi="Garamond"/>
            <w:color w:val="000000"/>
            <w:u w:val="none"/>
          </w:rPr>
          <w:t>0000-0003-4469-1280</w:t>
        </w:r>
      </w:hyperlink>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29"/>
            <w:jc w:val="center"/>
            <w:rPr>
              <w:rFonts w:ascii="Garamond" w:hAnsi="Garamond" w:cs="Garamond"/>
              <w:color w:val="000000"/>
            </w:rPr>
          </w:pPr>
          <w:r>
            <w:rPr>
              <w:rFonts w:cs="Garamond" w:ascii="Garamond" w:hAnsi="Garamond"/>
            </w:rPr>
            <w:t xml:space="preserve">Лепехова Е. С. </w:t>
          </w:r>
          <w:r>
            <w:rPr>
              <w:rFonts w:eastAsia="MingLiU;細明體" w:cs="Garamond" w:ascii="Garamond" w:hAnsi="Garamond"/>
            </w:rPr>
            <w:t>Культ Ганеши и его почитание в японском буддизме</w:t>
          </w:r>
        </w:p>
        <w:p>
          <w:pPr>
            <w:pStyle w:val="Style29"/>
            <w:jc w:val="center"/>
            <w:rPr>
              <w:rFonts w:ascii="Garamond" w:hAnsi="Garamond" w:cs="Garamond"/>
              <w:color w:val="000000"/>
              <w:sz w:val="8"/>
              <w:szCs w:val="8"/>
            </w:rPr>
          </w:pPr>
          <w:r>
            <w:rPr>
              <w:rFonts w:cs="Garamond" w:ascii="Garamond" w:hAnsi="Garamond"/>
              <w:color w:val="000000"/>
              <w:sz w:val="8"/>
              <w:szCs w:val="8"/>
            </w:rPr>
          </w:r>
        </w:p>
      </w:tc>
    </w:tr>
  </w:tbl>
  <w:p>
    <w:pPr>
      <w:pStyle w:val="Style29"/>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keepLines/>
      <w:numPr>
        <w:ilvl w:val="0"/>
        <w:numId w:val="1"/>
      </w:numPr>
      <w:spacing w:lineRule="auto" w:line="256" w:before="240" w:after="0"/>
      <w:outlineLvl w:val="0"/>
    </w:pPr>
    <w:rPr>
      <w:rFonts w:ascii="Calibri Light;Arial" w:hAnsi="Calibri Light;Arial" w:eastAsia="MS Gothic;ＭＳ ゴシック" w:cs="Calibri Light;Arial"/>
      <w:color w:val="2E74B5"/>
      <w:sz w:val="32"/>
      <w:szCs w:val="32"/>
      <w:lang w:eastAsia="ja-JP"/>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2">
    <w:name w:val="Основной шрифт абзаца"/>
    <w:qFormat/>
    <w:rPr/>
  </w:style>
  <w:style w:type="character" w:styleId="11">
    <w:name w:val=" Знак Знак1"/>
    <w:qFormat/>
    <w:rPr>
      <w:rFonts w:ascii="Calibri Light;Arial" w:hAnsi="Calibri Light;Arial" w:eastAsia="MS Gothic;ＭＳ ゴシック" w:cs="Calibri Light;Arial"/>
      <w:color w:val="2E74B5"/>
      <w:sz w:val="32"/>
      <w:szCs w:val="32"/>
      <w:lang w:val="ru-RU" w:eastAsia="ja-JP" w:bidi="ar-SA"/>
    </w:rPr>
  </w:style>
  <w:style w:type="character" w:styleId="FooterChar">
    <w:name w:val="Footer Char"/>
    <w:qFormat/>
    <w:rPr>
      <w:rFonts w:ascii="Times New Roman" w:hAnsi="Times New Roman" w:eastAsia="Times New Roman" w:cs="Times New Roman"/>
      <w:sz w:val="20"/>
      <w:szCs w:val="20"/>
    </w:rPr>
  </w:style>
  <w:style w:type="character" w:styleId="Style13">
    <w:name w:val=" Знак Знак"/>
    <w:qFormat/>
    <w:rPr>
      <w:sz w:val="24"/>
      <w:szCs w:val="24"/>
      <w:lang w:val="ru-RU" w:bidi="ar-SA"/>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2"/>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2"/>
    <w:rPr/>
  </w:style>
  <w:style w:type="character" w:styleId="Style18">
    <w:name w:val="Выделение"/>
    <w:qFormat/>
    <w:rPr>
      <w:i/>
      <w:iCs/>
    </w:rPr>
  </w:style>
  <w:style w:type="character" w:styleId="WW8Dropcap0">
    <w:name w:val="WW8Dropcap0"/>
    <w:qFormat/>
    <w:rPr>
      <w:rFonts w:ascii="Garamond" w:hAnsi="Garamond" w:eastAsia="MingLiU;細明體" w:cs="Garamond"/>
      <w:sz w:val="112"/>
      <w:szCs w:val="112"/>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Footer"/>
    <w:basedOn w:val="Normal"/>
    <w:pPr/>
    <w:rPr/>
  </w:style>
  <w:style w:type="paragraph" w:styleId="Style28">
    <w:name w:val="Footnote Text"/>
    <w:basedOn w:val="Normal"/>
    <w:pPr/>
    <w:rPr>
      <w:sz w:val="24"/>
      <w:szCs w:val="24"/>
    </w:rPr>
  </w:style>
  <w:style w:type="paragraph" w:styleId="12">
    <w:name w:val="Абзац списка1"/>
    <w:basedOn w:val="Normal"/>
    <w:qFormat/>
    <w:pPr>
      <w:spacing w:before="0" w:after="0"/>
      <w:ind w:start="720" w:hanging="0"/>
      <w:contextualSpacing/>
    </w:pPr>
    <w:rPr/>
  </w:style>
  <w:style w:type="paragraph" w:styleId="Style29">
    <w:name w:val="Header"/>
    <w:basedOn w:val="Normal"/>
    <w:pPr/>
    <w:rPr/>
  </w:style>
  <w:style w:type="paragraph" w:styleId="Style30">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1">
    <w:name w:val="Содержимое таблицы"/>
    <w:basedOn w:val="Normal"/>
    <w:qFormat/>
    <w:pPr>
      <w:suppressLineNumbers/>
    </w:pPr>
    <w:rPr/>
  </w:style>
  <w:style w:type="paragraph" w:styleId="Style32">
    <w:name w:val="Заголовок таблицы"/>
    <w:basedOn w:val="Style31"/>
    <w:qFormat/>
    <w:pPr>
      <w:suppressLineNumbers/>
      <w:jc w:val="center"/>
    </w:pPr>
    <w:rPr>
      <w:b/>
      <w:bCs/>
    </w:rPr>
  </w:style>
  <w:style w:type="paragraph" w:styleId="Style33">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hyperlink" Target="https://rubinmuseum.org/collection/artwork/dancing-red-ganapati" TargetMode="External"/><Relationship Id="rId5" Type="http://schemas.openxmlformats.org/officeDocument/2006/relationships/hyperlink" Target="https://rubinmuseum.org/collection/artwork/dancing-red-ganapati" TargetMode="External"/><Relationship Id="rId6" Type="http://schemas.openxmlformats.org/officeDocument/2006/relationships/image" Target="media/image2.jpeg"/><Relationship Id="rId7" Type="http://schemas.openxmlformats.org/officeDocument/2006/relationships/hyperlink" Target="https://rubinmuseum.org/collection/artwork/six-armed-mahakala" TargetMode="External"/><Relationship Id="rId8" Type="http://schemas.openxmlformats.org/officeDocument/2006/relationships/hyperlink" Target="https://rubinmuseum.org/collection/artwork/six-armed-mahakala" TargetMode="External"/><Relationship Id="rId9" Type="http://schemas.openxmlformats.org/officeDocument/2006/relationships/image" Target="media/image3.jpeg"/><Relationship Id="rId10" Type="http://schemas.openxmlformats.org/officeDocument/2006/relationships/hyperlink" Target="https://www.himalayanart.org/items/207" TargetMode="External"/><Relationship Id="rId11" Type="http://schemas.openxmlformats.org/officeDocument/2006/relationships/hyperlink" Target="https://www.himalayanart.org/items/207" TargetMode="External"/><Relationship Id="rId12" Type="http://schemas.openxmlformats.org/officeDocument/2006/relationships/image" Target="media/image4.jpeg"/><Relationship Id="rId13" Type="http://schemas.openxmlformats.org/officeDocument/2006/relationships/hyperlink" Target="https://hinducosmos.tumblr.com/tagged/sculpture" TargetMode="External"/><Relationship Id="rId14" Type="http://schemas.openxmlformats.org/officeDocument/2006/relationships/hyperlink" Target="https://hinducosmos.tumblr.com/tagged/sculpture" TargetMode="External"/><Relationship Id="rId15" Type="http://schemas.openxmlformats.org/officeDocument/2006/relationships/image" Target="media/image5.jpeg"/><Relationship Id="rId16" Type="http://schemas.openxmlformats.org/officeDocument/2006/relationships/hyperlink" Target="https://www.galeriegeluk.nl/japan?ep%5B27455927%5D%5Bpage%5D=1" TargetMode="External"/><Relationship Id="rId17" Type="http://schemas.openxmlformats.org/officeDocument/2006/relationships/hyperlink" Target="https://www.galeriegeluk.nl/japan?ep%5B27455927%5D%5Bpage%5D=1" TargetMode="External"/><Relationship Id="rId18" Type="http://schemas.openxmlformats.org/officeDocument/2006/relationships/header" Target="header1.xml"/><Relationship Id="rId19" Type="http://schemas.openxmlformats.org/officeDocument/2006/relationships/footer" Target="footer2.xml"/><Relationship Id="rId20" Type="http://schemas.openxmlformats.org/officeDocument/2006/relationships/footnotes" Target="footnotes.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orcid.org/0000-0003-4469-1280" TargetMode="External"/>
</Relationships>
</file>

<file path=docProps/app.xml><?xml version="1.0" encoding="utf-8"?>
<Properties xmlns="http://schemas.openxmlformats.org/officeDocument/2006/extended-properties" xmlns:vt="http://schemas.openxmlformats.org/officeDocument/2006/docPropsVTypes">
  <Template>Normal.dot</Template>
  <TotalTime>157</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2020-03-03T23:41:00Z</dcterms:created>
  <dc:creator>Vestnik IOS RAS</dc:creator>
  <dc:description/>
  <cp:keywords/>
  <dc:language>ru-RU</dc:language>
  <cp:lastModifiedBy>User</cp:lastModifiedBy>
  <dcterms:modified xsi:type="dcterms:W3CDTF">2020-03-25T17:20:00Z</dcterms:modified>
  <cp:revision>103</cp:revision>
  <dc:subject/>
  <dc:title>РУБРИКА: РЕЦЕНЗИИ; к юбилею ИВ РАН (</dc:title>
</cp:coreProperties>
</file>