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footnotes.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footer2.xml" ContentType="application/vnd.openxmlformats-officedocument.wordprocessingml.footer+xml"/>
  <Override PartName="/word/media/image7.jpeg" ContentType="image/jpeg"/>
  <Override PartName="/word/media/image2.jpeg" ContentType="image/jpeg"/>
  <Override PartName="/word/media/image1.jpeg" ContentType="image/jpeg"/>
  <Override PartName="/word/media/image3.jpeg" ContentType="image/jpeg"/>
  <Override PartName="/word/media/image4.jpeg" ContentType="image/jpeg"/>
  <Override PartName="/word/media/image5.jpeg" ContentType="image/jpeg"/>
  <Override PartName="/word/media/image6.jpeg" ContentType="image/jpeg"/>
  <Override PartName="/word/footer1.xml" ContentType="application/vnd.openxmlformats-officedocument.wordprocessingml.footer+xml"/>
  <Override PartName="/word/header1.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end="-31" w:hanging="0"/>
        <w:jc w:val="center"/>
        <w:rPr>
          <w:rFonts w:ascii="Garamond" w:hAnsi="Garamond" w:cs="Garamond"/>
          <w:b/>
          <w:b/>
          <w:caps/>
          <w:sz w:val="24"/>
          <w:szCs w:val="24"/>
        </w:rPr>
      </w:pPr>
      <w:r>
        <w:rPr>
          <w:rFonts w:cs="Garamond" w:ascii="Garamond" w:hAnsi="Garamond"/>
          <w:b/>
          <w:caps/>
          <w:sz w:val="24"/>
          <w:szCs w:val="24"/>
        </w:rPr>
        <w:t>Египтология</w:t>
      </w:r>
    </w:p>
    <w:tbl>
      <w:tblPr>
        <w:tblW w:w="8820" w:type="dxa"/>
        <w:jc w:val="start"/>
        <w:tblInd w:w="0" w:type="dxa"/>
        <w:tblBorders>
          <w:bottom w:val="thickThinMediumGap" w:sz="24" w:space="0" w:color="000000"/>
          <w:insideH w:val="thickThinMediumGap" w:sz="24" w:space="0" w:color="000000"/>
        </w:tblBorders>
        <w:tblCellMar>
          <w:top w:w="0" w:type="dxa"/>
          <w:start w:w="108" w:type="dxa"/>
          <w:bottom w:w="0" w:type="dxa"/>
          <w:end w:w="108" w:type="dxa"/>
        </w:tblCellMar>
      </w:tblPr>
      <w:tblGrid>
        <w:gridCol w:w="8820"/>
      </w:tblGrid>
      <w:tr>
        <w:trPr/>
        <w:tc>
          <w:tcPr>
            <w:tcW w:w="8820" w:type="dxa"/>
            <w:tcBorders>
              <w:bottom w:val="thickThinMediumGap" w:sz="24" w:space="0" w:color="000000"/>
              <w:insideH w:val="thickThinMediumGap" w:sz="24" w:space="0" w:color="000000"/>
            </w:tcBorders>
            <w:shd w:fill="auto" w:val="clear"/>
          </w:tcPr>
          <w:p>
            <w:pPr>
              <w:pStyle w:val="Normal"/>
              <w:snapToGrid w:val="false"/>
              <w:ind w:end="-31" w:hanging="0"/>
              <w:jc w:val="center"/>
              <w:rPr>
                <w:rFonts w:ascii="Garamond" w:hAnsi="Garamond" w:cs="Garamond"/>
                <w:b/>
                <w:b/>
                <w:caps/>
                <w:sz w:val="12"/>
                <w:szCs w:val="12"/>
              </w:rPr>
            </w:pPr>
            <w:r>
              <w:rPr>
                <w:rFonts w:cs="Garamond" w:ascii="Garamond" w:hAnsi="Garamond"/>
                <w:b/>
                <w:caps/>
                <w:sz w:val="12"/>
                <w:szCs w:val="12"/>
              </w:rPr>
            </w:r>
          </w:p>
        </w:tc>
      </w:tr>
    </w:tbl>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jc w:val="both"/>
        <w:rPr>
          <w:rFonts w:ascii="Garamond" w:hAnsi="Garamond" w:cs="Garamond"/>
          <w:b/>
          <w:b/>
          <w:sz w:val="24"/>
          <w:szCs w:val="24"/>
        </w:rPr>
      </w:pPr>
      <w:r>
        <w:rPr>
          <w:rFonts w:cs="Garamond" w:ascii="Garamond" w:hAnsi="Garamond"/>
          <w:sz w:val="24"/>
          <w:szCs w:val="24"/>
          <w:lang w:val="en-US"/>
        </w:rPr>
        <w:t>DOI</w:t>
      </w:r>
      <w:r>
        <w:rPr>
          <w:rFonts w:cs="Garamond" w:ascii="Garamond" w:hAnsi="Garamond"/>
          <w:sz w:val="24"/>
          <w:szCs w:val="24"/>
        </w:rPr>
        <w:t>: 10.31696/2618-7302</w:t>
      </w:r>
      <w:r>
        <w:rPr>
          <w:rFonts w:cs="Garamond" w:ascii="Garamond" w:hAnsi="Garamond"/>
          <w:sz w:val="24"/>
          <w:szCs w:val="24"/>
          <w:lang w:val="en-US"/>
        </w:rPr>
        <w:t>-2020-1-</w:t>
      </w:r>
      <w:r>
        <w:rPr>
          <w:rFonts w:cs="Garamond" w:ascii="Garamond" w:hAnsi="Garamond"/>
          <w:sz w:val="24"/>
          <w:szCs w:val="24"/>
        </w:rPr>
        <w:t>12</w:t>
      </w:r>
      <w:r>
        <w:rPr>
          <w:rFonts w:cs="Garamond" w:ascii="Garamond" w:hAnsi="Garamond"/>
          <w:sz w:val="24"/>
          <w:szCs w:val="24"/>
          <w:lang w:val="en-US"/>
        </w:rPr>
        <w:t>-32</w:t>
      </w:r>
    </w:p>
    <w:p>
      <w:pPr>
        <w:pStyle w:val="Normal"/>
        <w:ind w:end="-31" w:hanging="0"/>
        <w:jc w:val="both"/>
        <w:rPr>
          <w:rFonts w:ascii="Garamond" w:hAnsi="Garamond" w:cs="Garamond"/>
          <w:b/>
          <w:b/>
          <w:sz w:val="24"/>
          <w:szCs w:val="24"/>
        </w:rPr>
      </w:pPr>
      <w:r>
        <w:rPr>
          <w:rFonts w:cs="Garamond" w:ascii="Garamond" w:hAnsi="Garamond"/>
          <w:b/>
          <w:sz w:val="24"/>
          <w:szCs w:val="24"/>
        </w:rPr>
      </w:r>
    </w:p>
    <w:p>
      <w:pPr>
        <w:pStyle w:val="Normal"/>
        <w:spacing w:lineRule="auto" w:line="360"/>
        <w:ind w:end="-31" w:hanging="0"/>
        <w:jc w:val="center"/>
        <w:rPr/>
      </w:pPr>
      <w:r>
        <w:rPr>
          <w:rFonts w:cs="Garamond" w:ascii="Garamond" w:hAnsi="Garamond"/>
          <w:b/>
          <w:caps/>
          <w:sz w:val="26"/>
          <w:szCs w:val="26"/>
        </w:rPr>
        <w:t xml:space="preserve">Гипотеза о </w:t>
      </w:r>
      <w:r>
        <w:rPr>
          <w:rFonts w:cs="Garamond" w:ascii="Garamond" w:hAnsi="Garamond"/>
          <w:b/>
          <w:caps/>
          <w:sz w:val="26"/>
          <w:szCs w:val="26"/>
          <w:lang w:eastAsia="en-US"/>
        </w:rPr>
        <w:t>«Земле излияния Реки»:</w:t>
      </w:r>
    </w:p>
    <w:p>
      <w:pPr>
        <w:pStyle w:val="Normal"/>
        <w:spacing w:lineRule="auto" w:line="360"/>
        <w:ind w:end="-31" w:hanging="0"/>
        <w:jc w:val="center"/>
        <w:rPr>
          <w:rFonts w:ascii="Garamond" w:hAnsi="Garamond" w:cs="Garamond"/>
          <w:caps/>
          <w:sz w:val="26"/>
          <w:szCs w:val="26"/>
        </w:rPr>
      </w:pPr>
      <w:r>
        <w:rPr>
          <w:rFonts w:cs="Garamond" w:ascii="Garamond" w:hAnsi="Garamond"/>
          <w:b/>
          <w:caps/>
          <w:sz w:val="26"/>
          <w:szCs w:val="26"/>
          <w:lang w:eastAsia="en-US"/>
        </w:rPr>
        <w:t>к предыстории 1-</w:t>
      </w:r>
      <w:r>
        <w:rPr>
          <w:rFonts w:cs="Garamond" w:ascii="Garamond" w:hAnsi="Garamond"/>
          <w:b/>
          <w:sz w:val="26"/>
          <w:szCs w:val="26"/>
          <w:lang w:eastAsia="en-US"/>
        </w:rPr>
        <w:t>ГО</w:t>
      </w:r>
      <w:r>
        <w:rPr>
          <w:rFonts w:cs="Garamond" w:ascii="Garamond" w:hAnsi="Garamond"/>
          <w:b/>
          <w:caps/>
          <w:sz w:val="26"/>
          <w:szCs w:val="26"/>
          <w:lang w:eastAsia="en-US"/>
        </w:rPr>
        <w:t xml:space="preserve"> порога в контексте гидрологии среднеголоценового Нила. Часть </w:t>
      </w:r>
      <w:r>
        <w:rPr>
          <w:rFonts w:cs="Garamond" w:ascii="Garamond" w:hAnsi="Garamond"/>
          <w:b/>
          <w:caps/>
          <w:sz w:val="26"/>
          <w:szCs w:val="26"/>
          <w:lang w:val="en-US" w:eastAsia="en-US"/>
        </w:rPr>
        <w:t>II</w:t>
      </w:r>
    </w:p>
    <w:p>
      <w:pPr>
        <w:pStyle w:val="Normal"/>
        <w:spacing w:lineRule="auto" w:line="360"/>
        <w:ind w:end="-31" w:hanging="0"/>
        <w:jc w:val="both"/>
        <w:rPr>
          <w:rFonts w:ascii="Garamond" w:hAnsi="Garamond" w:cs="Garamond"/>
          <w:b/>
          <w:b/>
          <w:sz w:val="24"/>
          <w:szCs w:val="24"/>
        </w:rPr>
      </w:pPr>
      <w:r>
        <w:rPr>
          <w:rFonts w:cs="Garamond" w:ascii="Garamond" w:hAnsi="Garamond"/>
          <w:sz w:val="24"/>
          <w:szCs w:val="24"/>
        </w:rPr>
        <w:t xml:space="preserve">© 2020 </w:t>
        <w:tab/>
        <w:tab/>
        <w:tab/>
        <w:t xml:space="preserve">           </w:t>
      </w:r>
      <w:r>
        <w:rPr>
          <w:rFonts w:cs="Garamond" w:ascii="Garamond" w:hAnsi="Garamond"/>
          <w:b/>
          <w:sz w:val="26"/>
          <w:szCs w:val="26"/>
        </w:rPr>
        <w:t>Д. Б. Прусаков</w:t>
      </w:r>
      <w:r>
        <w:rPr>
          <w:rStyle w:val="Style14"/>
          <w:rStyle w:val="Style19"/>
          <w:rFonts w:cs="Garamond" w:ascii="Garamond" w:hAnsi="Garamond"/>
          <w:sz w:val="26"/>
          <w:szCs w:val="26"/>
        </w:rPr>
        <w:footnoteReference w:id="2"/>
      </w:r>
    </w:p>
    <w:p>
      <w:pPr>
        <w:pStyle w:val="Normal"/>
        <w:ind w:end="-31" w:firstLine="720"/>
        <w:jc w:val="both"/>
        <w:rPr/>
      </w:pPr>
      <w:r>
        <w:rPr>
          <w:rFonts w:cs="Garamond" w:ascii="Garamond" w:hAnsi="Garamond"/>
          <w:sz w:val="22"/>
          <w:szCs w:val="22"/>
        </w:rPr>
        <w:t>История реки Нил началась в геологическую эпоху позднего (мессинского) миоцена (Эонил, около 6 млн. лет назад). Эволюционно предшествовавшие современному Главному Нилу потоки (Палеонил, Протонил, Пренил, Неонил) протекали в иных руслах, от которых вдоль края Западной пустыни остались многоярусные береговые террасы, и значительно превосходили его по полноводности. Свой сегодняшний сравнительно скромный (около 85 км</w:t>
      </w:r>
      <w:r>
        <w:rPr>
          <w:rFonts w:cs="Garamond" w:ascii="Garamond" w:hAnsi="Garamond"/>
          <w:sz w:val="22"/>
          <w:szCs w:val="22"/>
          <w:vertAlign w:val="superscript"/>
        </w:rPr>
        <w:t>3</w:t>
      </w:r>
      <w:r>
        <w:rPr>
          <w:rFonts w:cs="Garamond" w:ascii="Garamond" w:hAnsi="Garamond"/>
          <w:sz w:val="22"/>
          <w:szCs w:val="22"/>
        </w:rPr>
        <w:t xml:space="preserve">) годовой объем стока в русле «финальной» конфигурации Нил приобрел, по-видимому, после так называемого «неолитического спада» во второй половине </w:t>
      </w:r>
      <w:r>
        <w:rPr>
          <w:rFonts w:cs="Garamond" w:ascii="Garamond" w:hAnsi="Garamond"/>
          <w:sz w:val="22"/>
          <w:szCs w:val="22"/>
          <w:lang w:val="en-US"/>
        </w:rPr>
        <w:t>IV</w:t>
      </w:r>
      <w:r>
        <w:rPr>
          <w:rFonts w:cs="Garamond" w:ascii="Garamond" w:hAnsi="Garamond"/>
          <w:sz w:val="22"/>
          <w:szCs w:val="22"/>
        </w:rPr>
        <w:t> тыс. до н. э., или примерно в протодинастический период зарождавшейся фараоновской цивилизации (Нагада </w:t>
      </w:r>
      <w:r>
        <w:rPr>
          <w:rFonts w:cs="Garamond" w:ascii="Garamond" w:hAnsi="Garamond"/>
          <w:sz w:val="22"/>
          <w:szCs w:val="22"/>
          <w:lang w:val="en-US"/>
        </w:rPr>
        <w:t>III</w:t>
      </w:r>
      <w:r>
        <w:rPr>
          <w:rFonts w:cs="Garamond" w:ascii="Garamond" w:hAnsi="Garamond"/>
          <w:sz w:val="22"/>
          <w:szCs w:val="22"/>
        </w:rPr>
        <w:t xml:space="preserve">). В это время имело место территориальное слияние Верхнего и Нижнего Египта, чему, по моей гипотезе, способствовало исчезновение «голоценового моря» — разделявшего страну протяженного озера на Ниле, возникшего ориентировочно не раньше </w:t>
      </w:r>
      <w:r>
        <w:rPr>
          <w:rFonts w:cs="Garamond" w:ascii="Garamond" w:hAnsi="Garamond"/>
          <w:sz w:val="22"/>
          <w:szCs w:val="22"/>
          <w:lang w:val="en-US"/>
        </w:rPr>
        <w:t>VII</w:t>
      </w:r>
      <w:r>
        <w:rPr>
          <w:rFonts w:cs="Garamond" w:ascii="Garamond" w:hAnsi="Garamond"/>
          <w:sz w:val="22"/>
          <w:szCs w:val="22"/>
        </w:rPr>
        <w:t> тыс. до н. э. в Среднем Египте между Асиутом и Фаюмом. Древнейшие (датируемые с эпипалеолита) петроглифы в районе Гарб Асуана на западном берегу Реки у подножия «Сиенского катаракта» своим расположением (бассейны вади) и содержанием (прежде всего изображениями лодок и крокодилов) наводят на мысль о заливах полноводного дельта-Неонила в Вади эль-Фарас и других ныне сухих здешних руслах, впадающих в нильскую Долину. «Коллапс» петроглифики Гарб Асуана на начальной стадии египетского государствогенеза мог быть связан с окончательным уходом отсюда вод Нила, отступивших с больших площадей протодинастического поречного Верховья, включая область 1-го порога.</w:t>
      </w:r>
    </w:p>
    <w:p>
      <w:pPr>
        <w:pStyle w:val="Normal"/>
        <w:ind w:end="-31" w:firstLine="720"/>
        <w:jc w:val="both"/>
        <w:rPr>
          <w:rFonts w:ascii="Garamond" w:hAnsi="Garamond" w:cs="Garamond"/>
          <w:sz w:val="22"/>
          <w:szCs w:val="22"/>
          <w:lang w:val="en-US"/>
        </w:rPr>
      </w:pPr>
      <w:r>
        <w:rPr>
          <w:rFonts w:cs="Garamond" w:ascii="Garamond" w:hAnsi="Garamond"/>
          <w:i/>
          <w:sz w:val="22"/>
          <w:szCs w:val="22"/>
        </w:rPr>
        <w:t>Ключевые слова:</w:t>
      </w:r>
      <w:r>
        <w:rPr>
          <w:rFonts w:cs="Garamond" w:ascii="Garamond" w:hAnsi="Garamond"/>
          <w:sz w:val="22"/>
          <w:szCs w:val="22"/>
        </w:rPr>
        <w:t xml:space="preserve"> Нил, геология, гидрология, 1-й порог, Нижняя Нубия, Верхний Египет, Гарб Асуан, петроглифы, голоцен, додинастический период, протодинастический период, архаический период.</w:t>
      </w:r>
    </w:p>
    <w:p>
      <w:pPr>
        <w:sectPr>
          <w:footerReference w:type="default" r:id="rId2"/>
          <w:footnotePr>
            <w:numFmt w:val="decimal"/>
            <w:numRestart w:val="eachSect"/>
          </w:footnotePr>
          <w:type w:val="nextPage"/>
          <w:pgSz w:w="11057" w:h="14740"/>
          <w:pgMar w:left="1134" w:right="1134" w:header="0" w:top="1134" w:footer="709" w:bottom="1134" w:gutter="0"/>
          <w:pgNumType w:start="12" w:fmt="decimal"/>
          <w:formProt w:val="false"/>
          <w:textDirection w:val="lrTb"/>
          <w:docGrid w:type="default" w:linePitch="360" w:charSpace="0"/>
        </w:sectPr>
        <w:pStyle w:val="Normal"/>
        <w:ind w:end="-31" w:firstLine="708"/>
        <w:jc w:val="both"/>
        <w:rPr>
          <w:rFonts w:ascii="Garamond" w:hAnsi="Garamond" w:cs="Garamond"/>
          <w:iCs/>
          <w:sz w:val="22"/>
          <w:szCs w:val="22"/>
          <w:lang w:val="en-US"/>
        </w:rPr>
      </w:pPr>
      <w:r>
        <w:rPr>
          <w:rFonts w:cs="Garamond" w:ascii="Garamond" w:hAnsi="Garamond"/>
          <w:i/>
          <w:iCs/>
          <w:sz w:val="22"/>
          <w:szCs w:val="22"/>
        </w:rPr>
        <w:t xml:space="preserve">Для цитирования: </w:t>
      </w:r>
      <w:r>
        <w:rPr>
          <w:rFonts w:cs="Garamond" w:ascii="Garamond" w:hAnsi="Garamond"/>
          <w:sz w:val="22"/>
          <w:szCs w:val="22"/>
        </w:rPr>
        <w:t>Прусаков</w:t>
      </w:r>
      <w:r>
        <w:rPr>
          <w:rFonts w:cs="Garamond" w:ascii="Garamond" w:hAnsi="Garamond"/>
          <w:sz w:val="22"/>
          <w:szCs w:val="22"/>
          <w:lang w:val="en-US"/>
        </w:rPr>
        <w:t> </w:t>
      </w:r>
      <w:r>
        <w:rPr>
          <w:rFonts w:cs="Garamond" w:ascii="Garamond" w:hAnsi="Garamond"/>
          <w:sz w:val="22"/>
          <w:szCs w:val="22"/>
        </w:rPr>
        <w:t>Д.</w:t>
      </w:r>
      <w:r>
        <w:rPr>
          <w:rFonts w:cs="Garamond" w:ascii="Garamond" w:hAnsi="Garamond"/>
          <w:sz w:val="22"/>
          <w:szCs w:val="22"/>
          <w:lang w:val="en-US"/>
        </w:rPr>
        <w:t> </w:t>
      </w:r>
      <w:r>
        <w:rPr>
          <w:rFonts w:cs="Garamond" w:ascii="Garamond" w:hAnsi="Garamond"/>
          <w:sz w:val="22"/>
          <w:szCs w:val="22"/>
        </w:rPr>
        <w:t>Б.</w:t>
      </w:r>
      <w:r>
        <w:rPr>
          <w:rFonts w:cs="Garamond" w:ascii="Garamond" w:hAnsi="Garamond"/>
          <w:iCs/>
          <w:sz w:val="22"/>
          <w:szCs w:val="22"/>
        </w:rPr>
        <w:t xml:space="preserve"> </w:t>
      </w:r>
      <w:r>
        <w:rPr>
          <w:rFonts w:cs="Garamond" w:ascii="Garamond" w:hAnsi="Garamond"/>
          <w:sz w:val="22"/>
          <w:szCs w:val="22"/>
        </w:rPr>
        <w:t xml:space="preserve">Гипотеза о </w:t>
      </w:r>
      <w:r>
        <w:rPr>
          <w:rFonts w:cs="Garamond" w:ascii="Garamond" w:hAnsi="Garamond"/>
          <w:sz w:val="22"/>
          <w:szCs w:val="22"/>
          <w:lang w:eastAsia="en-US"/>
        </w:rPr>
        <w:t>«Земле излияния Реки»: к предыстории 1-го порога в контексте гидрологии среднеголоценового Нила. Часть </w:t>
      </w:r>
      <w:r>
        <w:rPr>
          <w:rFonts w:cs="Garamond" w:ascii="Garamond" w:hAnsi="Garamond"/>
          <w:sz w:val="22"/>
          <w:szCs w:val="22"/>
          <w:lang w:val="en-US" w:eastAsia="en-US"/>
        </w:rPr>
        <w:t>II</w:t>
      </w:r>
      <w:r>
        <w:rPr>
          <w:rFonts w:cs="Garamond" w:ascii="Garamond" w:hAnsi="Garamond"/>
          <w:sz w:val="22"/>
          <w:szCs w:val="22"/>
        </w:rPr>
        <w:t xml:space="preserve">. </w:t>
      </w:r>
      <w:r>
        <w:rPr>
          <w:rFonts w:cs="Garamond" w:ascii="Garamond" w:hAnsi="Garamond"/>
          <w:i/>
          <w:sz w:val="22"/>
          <w:szCs w:val="22"/>
        </w:rPr>
        <w:t>Вестник Института востоковедения РАН</w:t>
      </w:r>
      <w:r>
        <w:rPr>
          <w:rFonts w:cs="Garamond" w:ascii="Garamond" w:hAnsi="Garamond"/>
          <w:sz w:val="22"/>
          <w:szCs w:val="22"/>
        </w:rPr>
        <w:t xml:space="preserve">. 2020. </w:t>
      </w:r>
      <w:r>
        <w:rPr>
          <w:rFonts w:cs="Garamond" w:ascii="Garamond" w:hAnsi="Garamond"/>
          <w:sz w:val="22"/>
          <w:szCs w:val="22"/>
          <w:lang w:val="en-US"/>
        </w:rPr>
        <w:t xml:space="preserve">№ 1. </w:t>
      </w:r>
      <w:r>
        <w:rPr>
          <w:rFonts w:cs="Garamond" w:ascii="Garamond" w:hAnsi="Garamond"/>
          <w:sz w:val="22"/>
          <w:szCs w:val="22"/>
        </w:rPr>
        <w:t>С</w:t>
      </w:r>
      <w:r>
        <w:rPr>
          <w:rFonts w:cs="Garamond" w:ascii="Garamond" w:hAnsi="Garamond"/>
          <w:sz w:val="22"/>
          <w:szCs w:val="22"/>
          <w:lang w:val="en-US"/>
        </w:rPr>
        <w:t>. 12–32. DOI: 10.31696/2618-7302-2020-1-12-32</w:t>
      </w:r>
    </w:p>
    <w:p>
      <w:pPr>
        <w:pStyle w:val="Normal"/>
        <w:spacing w:lineRule="auto" w:line="360"/>
        <w:ind w:end="-31" w:hanging="0"/>
        <w:jc w:val="center"/>
        <w:rPr/>
      </w:pPr>
      <w:r>
        <w:rPr>
          <w:rFonts w:cs="Garamond" w:ascii="Garamond" w:hAnsi="Garamond"/>
          <w:b/>
          <w:caps/>
          <w:sz w:val="26"/>
          <w:szCs w:val="26"/>
          <w:lang w:val="en-US"/>
        </w:rPr>
        <w:t>The Hypothesis of the “Land of Outpouring of the River”: On the Prehistory of the First Cataract in the Context of Hydrology of the Mid-Holocene Nile. Part II</w:t>
      </w:r>
    </w:p>
    <w:p>
      <w:pPr>
        <w:pStyle w:val="Normal"/>
        <w:spacing w:lineRule="auto" w:line="360"/>
        <w:ind w:end="-31" w:hanging="0"/>
        <w:jc w:val="center"/>
        <w:rPr>
          <w:rFonts w:ascii="Garamond" w:hAnsi="Garamond" w:cs="Garamond"/>
          <w:sz w:val="26"/>
          <w:szCs w:val="26"/>
          <w:lang w:val="en-US"/>
        </w:rPr>
      </w:pPr>
      <w:r>
        <w:rPr>
          <w:rFonts w:cs="Garamond" w:ascii="Garamond" w:hAnsi="Garamond"/>
          <w:b/>
          <w:sz w:val="26"/>
          <w:szCs w:val="26"/>
          <w:lang w:val="en-US"/>
        </w:rPr>
        <w:t>Dmitry B. Proussakov</w:t>
      </w:r>
    </w:p>
    <w:p>
      <w:pPr>
        <w:pStyle w:val="Normal"/>
        <w:ind w:end="-31" w:firstLine="720"/>
        <w:jc w:val="both"/>
        <w:rPr/>
      </w:pPr>
      <w:r>
        <w:rPr>
          <w:rFonts w:cs="Garamond" w:ascii="Garamond" w:hAnsi="Garamond"/>
          <w:sz w:val="22"/>
          <w:szCs w:val="22"/>
          <w:lang w:val="en-US"/>
        </w:rPr>
        <w:t>The history of the River Nile began in the geological epoch of the upper (Messinian) Miocene (Eonile, about 6 Ma). Rivers that preceded evolutionarily the modern Main Nile (Paleonile, Protonile, Prenile, and Neonile) flowed in other channels which left behind them a number of terraces along the edge of the Western Desert, and surpassed it considerably in water volumes. The Nile acquired its hodiernal annual discharge of about 85 km</w:t>
      </w:r>
      <w:r>
        <w:rPr>
          <w:rFonts w:cs="Garamond" w:ascii="Garamond" w:hAnsi="Garamond"/>
          <w:sz w:val="22"/>
          <w:szCs w:val="22"/>
          <w:vertAlign w:val="superscript"/>
          <w:lang w:val="en-US"/>
        </w:rPr>
        <w:t>3</w:t>
      </w:r>
      <w:r>
        <w:rPr>
          <w:rFonts w:cs="Garamond" w:ascii="Garamond" w:hAnsi="Garamond"/>
          <w:sz w:val="22"/>
          <w:szCs w:val="22"/>
          <w:lang w:val="en-US"/>
        </w:rPr>
        <w:t>, in the “final” bed, apparently after the so-called “Neolithic drop” in the late Fourth millennium BC, or approximately in the Protodynastic Period of the emerging Pharaonic civilization (Naqada III). At that time, territorial integration of Upper and Lower Egypt was under way, facilitated, according to my hypothesis, by disappearance of the “Holocene sea”, a large lake which arose in Middle Egypt between Asyut and Faiyum, tentatively, not earlier than the Seventh millennium BC. The oldest (dated from the Epipaleolithic) petroglyphs of Gharb Aswan on the west bank of the Nile at the foot of the First cataract, taking into account their location (wadi basins) and imagery (primarily, drawings of boats and crocodiles), make one think about bays of the more vigorous delta-Neonile in Wadi el-Faras and other now dry channels falling into the Nile Valley. “Collapse” of the Gharb Aswan rock art at the original phase of the Egyptian state formation may have been connected with recession of the Nile whose decreasing waters exposed large surfaces of Protodynastic Upper Egypt, including the First cataract region.</w:t>
      </w:r>
    </w:p>
    <w:p>
      <w:pPr>
        <w:pStyle w:val="Normal"/>
        <w:ind w:end="-31" w:firstLine="720"/>
        <w:jc w:val="both"/>
        <w:rPr>
          <w:rFonts w:ascii="Garamond" w:hAnsi="Garamond" w:cs="Garamond"/>
          <w:sz w:val="22"/>
          <w:szCs w:val="22"/>
          <w:lang w:val="en-US"/>
        </w:rPr>
      </w:pPr>
      <w:r>
        <w:rPr>
          <w:rFonts w:cs="Garamond" w:ascii="Garamond" w:hAnsi="Garamond"/>
          <w:i/>
          <w:sz w:val="22"/>
          <w:szCs w:val="22"/>
          <w:lang w:val="en-US"/>
        </w:rPr>
        <w:t>Keywords:</w:t>
      </w:r>
      <w:r>
        <w:rPr>
          <w:rFonts w:cs="Garamond" w:ascii="Garamond" w:hAnsi="Garamond"/>
          <w:sz w:val="22"/>
          <w:szCs w:val="22"/>
          <w:lang w:val="en-US"/>
        </w:rPr>
        <w:t xml:space="preserve"> the River Nile, geology, hydrology, the First cataract, Lower Nubia, Upper Egypt, Gharb Aswan, petroglyphs, Holocene, Predynastic Period, Protodynastic Period, Archaic Period.</w:t>
      </w:r>
    </w:p>
    <w:p>
      <w:pPr>
        <w:pStyle w:val="Normal"/>
        <w:ind w:end="-31" w:firstLine="720"/>
        <w:jc w:val="both"/>
        <w:rPr>
          <w:rFonts w:ascii="Garamond" w:hAnsi="Garamond" w:cs="Garamond"/>
          <w:sz w:val="22"/>
          <w:szCs w:val="22"/>
          <w:lang w:val="en-US"/>
        </w:rPr>
      </w:pPr>
      <w:r>
        <w:rPr>
          <w:rFonts w:eastAsia="Calibri;Arial" w:cs="Garamond" w:ascii="Garamond" w:hAnsi="Garamond"/>
          <w:bCs/>
          <w:i/>
          <w:iCs/>
          <w:sz w:val="22"/>
          <w:szCs w:val="22"/>
          <w:lang w:val="en-US"/>
        </w:rPr>
        <w:t xml:space="preserve">For citation: </w:t>
      </w:r>
      <w:r>
        <w:rPr>
          <w:rFonts w:cs="Garamond" w:ascii="Garamond" w:hAnsi="Garamond"/>
          <w:sz w:val="22"/>
          <w:szCs w:val="22"/>
          <w:lang w:val="en-US"/>
        </w:rPr>
        <w:t>Proussakov D. B.</w:t>
      </w:r>
      <w:r>
        <w:rPr>
          <w:rFonts w:eastAsia="Calibri;Arial" w:cs="Garamond" w:ascii="Garamond" w:hAnsi="Garamond"/>
          <w:sz w:val="22"/>
          <w:szCs w:val="22"/>
          <w:lang w:val="en-US"/>
        </w:rPr>
        <w:t xml:space="preserve"> </w:t>
      </w:r>
      <w:r>
        <w:rPr>
          <w:rFonts w:cs="Garamond" w:ascii="Garamond" w:hAnsi="Garamond"/>
          <w:sz w:val="22"/>
          <w:szCs w:val="22"/>
          <w:lang w:val="en-US"/>
        </w:rPr>
        <w:t xml:space="preserve">The Hypothesis of the “Land of Outpouring of the River”: On the Prehistory of the First Cataract in the Context of Hydrology of the Mid-Holocene Nile. Part II. </w:t>
      </w:r>
      <w:r>
        <w:rPr>
          <w:rFonts w:cs="Garamond" w:ascii="Garamond" w:hAnsi="Garamond"/>
          <w:i/>
          <w:sz w:val="22"/>
          <w:szCs w:val="22"/>
          <w:lang w:val="en-US"/>
        </w:rPr>
        <w:t>Vestnik Instituta vostokovedenija RAN</w:t>
      </w:r>
      <w:r>
        <w:rPr>
          <w:rFonts w:cs="Garamond" w:ascii="Garamond" w:hAnsi="Garamond"/>
          <w:sz w:val="22"/>
          <w:szCs w:val="22"/>
          <w:lang w:val="en-US"/>
        </w:rPr>
        <w:t>. 2020. 1. Pp. </w:t>
      </w:r>
      <w:r>
        <w:rPr>
          <w:rFonts w:cs="Garamond" w:ascii="Garamond" w:hAnsi="Garamond"/>
          <w:sz w:val="22"/>
          <w:szCs w:val="22"/>
        </w:rPr>
        <w:t>12–3</w:t>
      </w:r>
      <w:r>
        <w:rPr>
          <w:rFonts w:cs="Garamond" w:ascii="Garamond" w:hAnsi="Garamond"/>
          <w:sz w:val="22"/>
          <w:szCs w:val="22"/>
          <w:lang w:val="en-US"/>
        </w:rPr>
        <w:t>2. DOI</w:t>
      </w:r>
      <w:r>
        <w:rPr>
          <w:rFonts w:cs="Garamond" w:ascii="Garamond" w:hAnsi="Garamond"/>
          <w:sz w:val="22"/>
          <w:szCs w:val="22"/>
        </w:rPr>
        <w:t>: 10.31696/2618-7302-2020-1-12-3</w:t>
      </w:r>
      <w:r>
        <w:rPr>
          <w:rFonts w:cs="Garamond" w:ascii="Garamond" w:hAnsi="Garamond"/>
          <w:sz w:val="22"/>
          <w:szCs w:val="22"/>
          <w:lang w:val="en-US"/>
        </w:rPr>
        <w:t>2</w:t>
      </w:r>
    </w:p>
    <w:p>
      <w:pPr>
        <w:pStyle w:val="Normal"/>
        <w:autoSpaceDE w:val="false"/>
        <w:ind w:end="-31" w:firstLine="720"/>
        <w:jc w:val="both"/>
        <w:rPr>
          <w:rFonts w:ascii="Garamond" w:hAnsi="Garamond" w:cs="Garamond"/>
          <w:sz w:val="22"/>
          <w:szCs w:val="22"/>
          <w:lang w:val="en-US"/>
        </w:rPr>
      </w:pPr>
      <w:r>
        <w:rPr>
          <w:rFonts w:cs="Garamond" w:ascii="Garamond" w:hAnsi="Garamond"/>
          <w:sz w:val="22"/>
          <w:szCs w:val="22"/>
          <w:lang w:val="en-US"/>
        </w:rPr>
      </w:r>
    </w:p>
    <w:p>
      <w:pPr>
        <w:pStyle w:val="Normal"/>
        <w:autoSpaceDE w:val="false"/>
        <w:ind w:end="-31" w:hanging="0"/>
        <w:jc w:val="both"/>
        <w:rPr/>
      </w:pPr>
      <w:r>
        <w:rPr/>
        <w:t>Г</w:t>
      </w:r>
      <w:r>
        <w:rPr>
          <w:rFonts w:cs="Garamond" w:ascii="Garamond" w:hAnsi="Garamond"/>
          <w:sz w:val="24"/>
          <w:szCs w:val="24"/>
        </w:rPr>
        <w:t>еолого-гидрологическая история Нила исследовалась учеными давно (см., например: [</w:t>
      </w:r>
      <w:r>
        <w:rPr>
          <w:rFonts w:cs="Garamond" w:ascii="Garamond" w:hAnsi="Garamond"/>
          <w:iCs/>
          <w:sz w:val="24"/>
          <w:szCs w:val="24"/>
          <w:lang w:val="en-US"/>
        </w:rPr>
        <w:t>Arldt</w:t>
      </w:r>
      <w:r>
        <w:rPr>
          <w:rFonts w:cs="Garamond" w:ascii="Garamond" w:hAnsi="Garamond"/>
          <w:iCs/>
          <w:sz w:val="24"/>
          <w:szCs w:val="24"/>
        </w:rPr>
        <w:t xml:space="preserve">, 1918; </w:t>
      </w:r>
      <w:r>
        <w:rPr>
          <w:rFonts w:cs="Garamond" w:ascii="Garamond" w:hAnsi="Garamond"/>
          <w:sz w:val="24"/>
          <w:szCs w:val="24"/>
          <w:lang w:val="en-US"/>
        </w:rPr>
        <w:t>Blanckenhorn</w:t>
      </w:r>
      <w:r>
        <w:rPr>
          <w:rFonts w:cs="Garamond" w:ascii="Garamond" w:hAnsi="Garamond"/>
          <w:sz w:val="24"/>
          <w:szCs w:val="24"/>
        </w:rPr>
        <w:t>, 1902]) и максимально полно, вплоть до позднего миоцена, когда водные потоки, стекавшие с дождливых западных склонов Этбая, начали сливаться в самостоятельную реку — Эонил, не связанную с глубинами африканского континента. Приточный «эфиопский» водосбор с озером Тана, Голубым Нилом и Атбарой к тому времени еще не сформировался, как и питающая сегодня Белый Нил озерно-речная система экваториального плоскогорья, сток которого был направлен в основном к бассейну Конго и Индийскому океану с наметившимся выходом на север, где на месте нынешней болотистой равнины Сэдд простирался мегаводоем площадью в сотни тысяч квадратных километров. Его и другие поверхностные воды черной Африки от Египта отделял высокий Нубийский массив, впоследствии испытавший тектоническое опускание и рассеченный порогово-стремнинным отрезком нильского русла от Хартума до Вади Хальфа [</w:t>
      </w:r>
      <w:r>
        <w:rPr>
          <w:rFonts w:cs="Garamond" w:ascii="Garamond" w:hAnsi="Garamond"/>
          <w:sz w:val="24"/>
          <w:szCs w:val="24"/>
          <w:lang w:val="en-US"/>
        </w:rPr>
        <w:t>Said</w:t>
      </w:r>
      <w:r>
        <w:rPr>
          <w:rFonts w:cs="Garamond" w:ascii="Garamond" w:hAnsi="Garamond"/>
          <w:sz w:val="24"/>
          <w:szCs w:val="24"/>
        </w:rPr>
        <w:t>, 1962; 1981].</w:t>
      </w:r>
    </w:p>
    <w:p>
      <w:pPr>
        <w:pStyle w:val="Normal"/>
        <w:autoSpaceDE w:val="false"/>
        <w:ind w:end="-31" w:firstLine="720"/>
        <w:jc w:val="both"/>
        <w:rPr/>
      </w:pPr>
      <w:r>
        <w:rPr>
          <w:rFonts w:cs="Garamond" w:ascii="Garamond" w:hAnsi="Garamond"/>
          <w:sz w:val="24"/>
          <w:szCs w:val="24"/>
        </w:rPr>
        <w:t>Эонил, зародившийся и развивавшийся как исключительно или преимущественно «египетская» река, пробивал себе магистральный путь к опустынивавшейся (см.: [</w:t>
      </w:r>
      <w:r>
        <w:rPr>
          <w:rFonts w:cs="Garamond" w:ascii="Garamond" w:hAnsi="Garamond"/>
          <w:sz w:val="24"/>
          <w:szCs w:val="24"/>
          <w:lang w:val="en-US"/>
        </w:rPr>
        <w:t>Hs</w:t>
      </w:r>
      <w:r>
        <w:rPr>
          <w:rFonts w:cs="Garamond" w:ascii="Garamond" w:hAnsi="Garamond"/>
          <w:sz w:val="24"/>
          <w:szCs w:val="24"/>
        </w:rPr>
        <w:t>ü, 1983]) средиземноморской котловине. В ту эпоху, 5,5–6 млн. лет назад, Средиземное море катастрофически усохло (на какое-то время, по-видимому, даже совсем исчезло, ср.: [</w:t>
      </w:r>
      <w:r>
        <w:rPr>
          <w:rFonts w:cs="Garamond" w:ascii="Garamond" w:hAnsi="Garamond"/>
          <w:sz w:val="24"/>
          <w:szCs w:val="24"/>
          <w:lang w:val="en-US"/>
        </w:rPr>
        <w:t>Roveri</w:t>
      </w:r>
      <w:r>
        <w:rPr>
          <w:rFonts w:cs="Garamond" w:ascii="Garamond" w:hAnsi="Garamond"/>
          <w:sz w:val="24"/>
          <w:szCs w:val="24"/>
        </w:rPr>
        <w:t xml:space="preserve"> </w:t>
      </w:r>
      <w:r>
        <w:rPr>
          <w:rFonts w:cs="Garamond" w:ascii="Garamond" w:hAnsi="Garamond"/>
          <w:sz w:val="24"/>
          <w:szCs w:val="24"/>
          <w:lang w:val="en-US"/>
        </w:rPr>
        <w:t>et al</w:t>
      </w:r>
      <w:r>
        <w:rPr>
          <w:rFonts w:cs="Garamond" w:ascii="Garamond" w:hAnsi="Garamond"/>
          <w:sz w:val="24"/>
          <w:szCs w:val="24"/>
        </w:rPr>
        <w:t>., 2008]), лишившись свободного сообщения с Атлантикой</w:t>
      </w:r>
      <w:r>
        <w:rPr>
          <w:rStyle w:val="Style14"/>
          <w:rStyle w:val="Style19"/>
          <w:rFonts w:cs="Garamond" w:ascii="Garamond" w:hAnsi="Garamond"/>
          <w:sz w:val="24"/>
          <w:szCs w:val="24"/>
        </w:rPr>
        <w:footnoteReference w:id="3"/>
      </w:r>
      <w:r>
        <w:rPr>
          <w:rFonts w:cs="Garamond" w:ascii="Garamond" w:hAnsi="Garamond"/>
          <w:sz w:val="24"/>
          <w:szCs w:val="24"/>
        </w:rPr>
        <w:t xml:space="preserve"> через Бетский и Рифский проливы, где произошел подъем земной коры, и испытав при этом критическое воздействие глобально нараставшей аридизации климата — еще не до конца изученный природно-геологический феномен, известный как Мессинский соленостный кризис (см., например: [</w:t>
      </w:r>
      <w:r>
        <w:rPr>
          <w:rFonts w:cs="Garamond" w:ascii="Garamond" w:hAnsi="Garamond"/>
          <w:sz w:val="24"/>
          <w:szCs w:val="24"/>
          <w:lang w:val="en-US"/>
        </w:rPr>
        <w:t>Hs</w:t>
      </w:r>
      <w:r>
        <w:rPr>
          <w:rFonts w:cs="Garamond" w:ascii="Garamond" w:hAnsi="Garamond"/>
          <w:sz w:val="24"/>
          <w:szCs w:val="24"/>
        </w:rPr>
        <w:t xml:space="preserve">ü, </w:t>
      </w:r>
      <w:r>
        <w:rPr>
          <w:rFonts w:cs="Garamond" w:ascii="Garamond" w:hAnsi="Garamond"/>
          <w:sz w:val="24"/>
          <w:szCs w:val="24"/>
          <w:lang w:val="en-US"/>
        </w:rPr>
        <w:t>Ryan</w:t>
      </w:r>
      <w:r>
        <w:rPr>
          <w:rFonts w:cs="Garamond" w:ascii="Garamond" w:hAnsi="Garamond"/>
          <w:sz w:val="24"/>
          <w:szCs w:val="24"/>
        </w:rPr>
        <w:t xml:space="preserve">, </w:t>
      </w:r>
      <w:r>
        <w:rPr>
          <w:rFonts w:cs="Garamond" w:ascii="Garamond" w:hAnsi="Garamond"/>
          <w:sz w:val="24"/>
          <w:szCs w:val="24"/>
          <w:lang w:val="en-US"/>
        </w:rPr>
        <w:t>Cita</w:t>
      </w:r>
      <w:r>
        <w:rPr>
          <w:rFonts w:cs="Garamond" w:ascii="Garamond" w:hAnsi="Garamond"/>
          <w:sz w:val="24"/>
          <w:szCs w:val="24"/>
        </w:rPr>
        <w:t xml:space="preserve">, 1973; </w:t>
      </w:r>
      <w:r>
        <w:rPr>
          <w:rFonts w:cs="Garamond" w:ascii="Garamond" w:hAnsi="Garamond"/>
          <w:sz w:val="24"/>
          <w:szCs w:val="24"/>
          <w:lang w:val="en-US"/>
        </w:rPr>
        <w:t>Hs</w:t>
      </w:r>
      <w:r>
        <w:rPr>
          <w:rFonts w:cs="Garamond" w:ascii="Garamond" w:hAnsi="Garamond"/>
          <w:sz w:val="24"/>
          <w:szCs w:val="24"/>
        </w:rPr>
        <w:t xml:space="preserve">ü </w:t>
      </w:r>
      <w:r>
        <w:rPr>
          <w:rFonts w:cs="Garamond" w:ascii="Garamond" w:hAnsi="Garamond"/>
          <w:sz w:val="24"/>
          <w:szCs w:val="24"/>
          <w:lang w:val="en-US"/>
        </w:rPr>
        <w:t>et al</w:t>
      </w:r>
      <w:r>
        <w:rPr>
          <w:rFonts w:cs="Garamond" w:ascii="Garamond" w:hAnsi="Garamond"/>
          <w:sz w:val="24"/>
          <w:szCs w:val="24"/>
        </w:rPr>
        <w:t>., 1977]). Колоссальный объем испаряющейся морской воды обернулся обильными круглогодичными дождями в египетской Восточной пустыне, которые проложили от здешних гор, существенно превышавших сохранившиеся от них до наших дней «Красноморские холмы», густую сеть полноводных русел (сегодняшних реликтовых вади) и обеспечили стабильный речной сток к остаткам Средиземного моря [</w:t>
      </w:r>
      <w:r>
        <w:rPr>
          <w:rFonts w:cs="Garamond" w:ascii="Garamond" w:hAnsi="Garamond"/>
          <w:sz w:val="24"/>
          <w:szCs w:val="24"/>
          <w:lang w:val="en-US"/>
        </w:rPr>
        <w:t>Said</w:t>
      </w:r>
      <w:r>
        <w:rPr>
          <w:rFonts w:cs="Garamond" w:ascii="Garamond" w:hAnsi="Garamond"/>
          <w:sz w:val="24"/>
          <w:szCs w:val="24"/>
        </w:rPr>
        <w:t>,  1993].  Его  быстро</w:t>
      </w:r>
      <w:r>
        <w:rPr>
          <w:rStyle w:val="Style14"/>
          <w:rStyle w:val="Style19"/>
          <w:rFonts w:cs="Garamond" w:ascii="Garamond" w:hAnsi="Garamond"/>
          <w:sz w:val="24"/>
          <w:szCs w:val="24"/>
        </w:rPr>
        <w:footnoteReference w:id="4"/>
      </w:r>
      <w:r>
        <w:rPr>
          <w:rFonts w:cs="Garamond" w:ascii="Garamond" w:hAnsi="Garamond"/>
          <w:sz w:val="24"/>
          <w:szCs w:val="24"/>
        </w:rPr>
        <w:t xml:space="preserve">  и  экстремально  низко  упавший уровень — базис эрозии новообразованной реки</w:t>
      </w:r>
      <w:r>
        <w:rPr>
          <w:rFonts w:cs="Garamond" w:ascii="Garamond" w:hAnsi="Garamond"/>
          <w:sz w:val="24"/>
          <w:szCs w:val="24"/>
          <w:lang w:val="en-US"/>
        </w:rPr>
        <w:t> </w:t>
      </w:r>
      <w:r>
        <w:rPr>
          <w:rFonts w:cs="Garamond" w:ascii="Garamond" w:hAnsi="Garamond"/>
          <w:sz w:val="24"/>
          <w:szCs w:val="24"/>
        </w:rPr>
        <w:t>— обусловил, параллельно сбросо-сдвиговым процессам в этой части верхнемиоценового Египта, интенсивное врезание Эонила до масштабов гигантского  каньона</w:t>
      </w:r>
      <w:r>
        <w:rPr>
          <w:rStyle w:val="Style14"/>
          <w:rStyle w:val="Style19"/>
          <w:rFonts w:cs="Garamond" w:ascii="Garamond" w:hAnsi="Garamond"/>
          <w:sz w:val="24"/>
          <w:szCs w:val="24"/>
        </w:rPr>
        <w:footnoteReference w:id="5"/>
      </w:r>
      <w:r>
        <w:rPr>
          <w:rFonts w:cs="Garamond" w:ascii="Garamond" w:hAnsi="Garamond"/>
          <w:sz w:val="24"/>
          <w:szCs w:val="24"/>
        </w:rPr>
        <w:t>,  длиной  и  (ближе  к  устью)  глубиной  значительно превосходившего Гранд-Каньон Колорадо в Аризоне</w:t>
      </w:r>
      <w:r>
        <w:rPr>
          <w:rStyle w:val="Style14"/>
          <w:rStyle w:val="Style19"/>
          <w:rFonts w:cs="Garamond" w:ascii="Garamond" w:hAnsi="Garamond"/>
          <w:sz w:val="24"/>
          <w:szCs w:val="24"/>
        </w:rPr>
        <w:footnoteReference w:id="6"/>
      </w:r>
      <w:r>
        <w:rPr>
          <w:rFonts w:cs="Garamond" w:ascii="Garamond" w:hAnsi="Garamond"/>
          <w:sz w:val="24"/>
          <w:szCs w:val="24"/>
        </w:rPr>
        <w:t>.</w:t>
      </w:r>
    </w:p>
    <w:p>
      <w:pPr>
        <w:pStyle w:val="Normal"/>
        <w:autoSpaceDE w:val="false"/>
        <w:ind w:end="-31" w:firstLine="720"/>
        <w:jc w:val="both"/>
        <w:rPr>
          <w:rFonts w:ascii="Garamond" w:hAnsi="Garamond" w:cs="Garamond"/>
          <w:b/>
          <w:b/>
          <w:sz w:val="24"/>
          <w:szCs w:val="24"/>
        </w:rPr>
      </w:pPr>
      <w:r>
        <w:rPr>
          <w:rFonts w:cs="Garamond" w:ascii="Garamond" w:hAnsi="Garamond"/>
          <w:sz w:val="24"/>
          <w:szCs w:val="24"/>
        </w:rPr>
        <w:t>В начале плиоцена, около 5,3 млн. лет назад, стремительная трансгрессия Средиземного   моря,   последовавшая   за   восстановлением</w:t>
      </w:r>
      <w:r>
        <w:rPr>
          <w:rStyle w:val="Style14"/>
          <w:rStyle w:val="Style19"/>
          <w:rFonts w:cs="Garamond" w:ascii="Garamond" w:hAnsi="Garamond"/>
          <w:sz w:val="24"/>
          <w:szCs w:val="24"/>
        </w:rPr>
        <w:footnoteReference w:id="7"/>
      </w:r>
      <w:r>
        <w:rPr>
          <w:rFonts w:cs="Garamond" w:ascii="Garamond" w:hAnsi="Garamond"/>
          <w:sz w:val="24"/>
          <w:szCs w:val="24"/>
        </w:rPr>
        <w:t xml:space="preserve">   его   свободной гидрологической связи с Атлантическим океаном, превратила каньон в морской залив наподобие величественного фьорда протяженностью по крайней мере до Асуана, средней шириной ~12 км, раскинувшего в отдельных вади рукава-ответвления длиной до 30 км (ср.: [</w:t>
      </w:r>
      <w:r>
        <w:rPr>
          <w:rFonts w:cs="Garamond" w:ascii="Garamond" w:hAnsi="Garamond"/>
          <w:sz w:val="24"/>
          <w:szCs w:val="24"/>
          <w:lang w:val="en-US"/>
        </w:rPr>
        <w:t>Gargani</w:t>
      </w:r>
      <w:r>
        <w:rPr>
          <w:rFonts w:cs="Garamond" w:ascii="Garamond" w:hAnsi="Garamond"/>
          <w:sz w:val="24"/>
          <w:szCs w:val="24"/>
        </w:rPr>
        <w:t xml:space="preserve">, </w:t>
      </w:r>
      <w:r>
        <w:rPr>
          <w:rFonts w:cs="Garamond" w:ascii="Garamond" w:hAnsi="Garamond"/>
          <w:sz w:val="24"/>
          <w:szCs w:val="24"/>
          <w:lang w:val="en-US"/>
        </w:rPr>
        <w:t>Rigollet</w:t>
      </w:r>
      <w:r>
        <w:rPr>
          <w:rFonts w:cs="Garamond" w:ascii="Garamond" w:hAnsi="Garamond"/>
          <w:sz w:val="24"/>
          <w:szCs w:val="24"/>
        </w:rPr>
        <w:t xml:space="preserve">, </w:t>
      </w:r>
      <w:r>
        <w:rPr>
          <w:rFonts w:cs="Garamond" w:ascii="Garamond" w:hAnsi="Garamond"/>
          <w:sz w:val="24"/>
          <w:szCs w:val="24"/>
          <w:lang w:val="en-US"/>
        </w:rPr>
        <w:t>Scarselli</w:t>
      </w:r>
      <w:r>
        <w:rPr>
          <w:rFonts w:cs="Garamond" w:ascii="Garamond" w:hAnsi="Garamond"/>
          <w:sz w:val="24"/>
          <w:szCs w:val="24"/>
        </w:rPr>
        <w:t xml:space="preserve">, 2010; </w:t>
      </w:r>
      <w:r>
        <w:rPr>
          <w:rFonts w:cs="Garamond" w:ascii="Garamond" w:hAnsi="Garamond"/>
          <w:sz w:val="24"/>
          <w:szCs w:val="24"/>
          <w:lang w:val="en-US"/>
        </w:rPr>
        <w:t>Little</w:t>
      </w:r>
      <w:r>
        <w:rPr>
          <w:rFonts w:cs="Garamond" w:ascii="Garamond" w:hAnsi="Garamond"/>
          <w:sz w:val="24"/>
          <w:szCs w:val="24"/>
        </w:rPr>
        <w:t>, 1936]). В верхнем плиоцене, около 2,6 млн. лет назад, регрессирующий залив, уже основательно опресненный ливневым стоком Этбая, отступил перед Рекой (Палеонил), причем, возможно, именно тогда она, косвенно затронутая тектоническими движениями в рифтовой Восточной Африке, впервые сомкнулась на юге через суданский коридор с бассейном Белого Нила, включая его притоки Бахр эль-Газаль и Собат (см.: [</w:t>
      </w:r>
      <w:r>
        <w:rPr>
          <w:rFonts w:cs="Garamond" w:ascii="Garamond" w:hAnsi="Garamond"/>
          <w:sz w:val="24"/>
          <w:szCs w:val="24"/>
          <w:lang w:val="en-US"/>
        </w:rPr>
        <w:t>Hayes</w:t>
      </w:r>
      <w:r>
        <w:rPr>
          <w:rFonts w:cs="Garamond" w:ascii="Garamond" w:hAnsi="Garamond"/>
          <w:sz w:val="24"/>
          <w:szCs w:val="24"/>
        </w:rPr>
        <w:t>, 1965])</w:t>
      </w:r>
      <w:r>
        <w:rPr>
          <w:rFonts w:cs="Garamond" w:ascii="Garamond" w:hAnsi="Garamond"/>
          <w:sz w:val="24"/>
          <w:szCs w:val="24"/>
          <w:lang w:val="en-US"/>
        </w:rPr>
        <w:t> </w:t>
      </w:r>
      <w:r>
        <w:rPr>
          <w:rFonts w:cs="Garamond" w:ascii="Garamond" w:hAnsi="Garamond"/>
          <w:sz w:val="24"/>
          <w:szCs w:val="24"/>
        </w:rPr>
        <w:t>— точка зрения, оспаривавшаяся с указанием на недостаточность, в частности, водного фаунистического материала, способного ее подтвердить [</w:t>
      </w:r>
      <w:r>
        <w:rPr>
          <w:rFonts w:cs="Garamond" w:ascii="Garamond" w:hAnsi="Garamond"/>
          <w:sz w:val="24"/>
          <w:szCs w:val="24"/>
          <w:lang w:val="en-US"/>
        </w:rPr>
        <w:t>Said</w:t>
      </w:r>
      <w:r>
        <w:rPr>
          <w:rFonts w:cs="Garamond" w:ascii="Garamond" w:hAnsi="Garamond"/>
          <w:sz w:val="24"/>
          <w:szCs w:val="24"/>
        </w:rPr>
        <w:t>, 1993].</w:t>
      </w:r>
    </w:p>
    <w:p>
      <w:pPr>
        <w:pStyle w:val="Normal"/>
        <w:autoSpaceDE w:val="false"/>
        <w:ind w:end="-31" w:firstLine="720"/>
        <w:jc w:val="both"/>
        <w:rPr/>
      </w:pPr>
      <w:r>
        <w:rPr>
          <w:rFonts w:cs="Garamond" w:ascii="Garamond" w:hAnsi="Garamond"/>
          <w:sz w:val="24"/>
          <w:szCs w:val="24"/>
        </w:rPr>
        <w:t>Эволюция Реки в плейстоцене делится геологической наукой на три фазы, которым предшествовало пересыхание Палеонила около 1,8–2 млн. лет назад, когда в Египте установился гипераридный климат, превративший его в пустыню тотального выветривания, лишенную почв, растительности и каких-либо водотоков. Река возрождалась с разной силой в дождливые эпизоды следующего миллиона лет, поначалу, вероятно, как эфемерный</w:t>
      </w:r>
      <w:r>
        <w:rPr>
          <w:rStyle w:val="Style14"/>
          <w:rStyle w:val="Style19"/>
          <w:rFonts w:cs="Garamond" w:ascii="Garamond" w:hAnsi="Garamond"/>
          <w:sz w:val="24"/>
          <w:szCs w:val="24"/>
        </w:rPr>
        <w:footnoteReference w:id="8"/>
      </w:r>
      <w:r>
        <w:rPr>
          <w:rFonts w:cs="Garamond" w:ascii="Garamond" w:hAnsi="Garamond"/>
          <w:sz w:val="24"/>
          <w:szCs w:val="24"/>
        </w:rPr>
        <w:t xml:space="preserve"> поток</w:t>
      </w:r>
      <w:r>
        <w:rPr>
          <w:rFonts w:cs="Garamond" w:ascii="Garamond" w:hAnsi="Garamond"/>
          <w:sz w:val="24"/>
          <w:szCs w:val="24"/>
          <w:lang w:val="en-US"/>
        </w:rPr>
        <w:t> </w:t>
      </w:r>
      <w:r>
        <w:rPr>
          <w:rFonts w:cs="Garamond" w:ascii="Garamond" w:hAnsi="Garamond"/>
          <w:sz w:val="24"/>
          <w:szCs w:val="24"/>
        </w:rPr>
        <w:t>— так называемый Протонил, чей маршрут обозначен песчано-галечниковыми отложениями от Нубии (северный Судан) до Средиземного моря в виде характерных террас к западу от Нила наших дней: например, его наносами образована широкая гравийная равнина Дарб эль-Галлаба (формация Эдфу), лежащая на 35–40 м выше сегодняшней нильской поймы [</w:t>
      </w:r>
      <w:r>
        <w:rPr>
          <w:rFonts w:cs="Garamond" w:ascii="Garamond" w:hAnsi="Garamond"/>
          <w:sz w:val="24"/>
          <w:szCs w:val="24"/>
          <w:lang w:val="en-US"/>
        </w:rPr>
        <w:t>Said</w:t>
      </w:r>
      <w:r>
        <w:rPr>
          <w:rFonts w:cs="Garamond" w:ascii="Garamond" w:hAnsi="Garamond"/>
          <w:sz w:val="24"/>
          <w:szCs w:val="24"/>
        </w:rPr>
        <w:t>, 1981].</w:t>
      </w:r>
    </w:p>
    <w:p>
      <w:pPr>
        <w:pStyle w:val="Normal"/>
        <w:autoSpaceDE w:val="false"/>
        <w:ind w:end="-31" w:firstLine="720"/>
        <w:jc w:val="both"/>
        <w:rPr/>
      </w:pPr>
      <w:r>
        <w:rPr>
          <w:rFonts w:cs="Garamond" w:ascii="Garamond" w:hAnsi="Garamond"/>
          <w:sz w:val="24"/>
          <w:szCs w:val="24"/>
        </w:rPr>
        <w:t>Около 700–800 тыс. лет назад «умеренные» вариации Протонила сменил рекордно многоводный Пренил, протекавший по левому краю современной Долины (в Среднем Египте</w:t>
      </w:r>
      <w:r>
        <w:rPr>
          <w:rFonts w:cs="Garamond" w:ascii="Garamond" w:hAnsi="Garamond"/>
          <w:sz w:val="24"/>
          <w:szCs w:val="24"/>
          <w:lang w:val="en-US"/>
        </w:rPr>
        <w:t> </w:t>
      </w:r>
      <w:r>
        <w:rPr>
          <w:rFonts w:cs="Garamond" w:ascii="Garamond" w:hAnsi="Garamond"/>
          <w:sz w:val="24"/>
          <w:szCs w:val="24"/>
        </w:rPr>
        <w:t>— западнее рукава Бахр-Юсуф), создавший в Фаюмской депрессии крупный водоем с зеркалом на 44 м выше нынешнего соленого озера Биркет Карун и отличавшийся мощными наносами, минеральный состав которых свидетельствует об установлении «полной связи» эволюционирующей Реки с Голубым Нилом и Атбарой (ср.: [</w:t>
      </w:r>
      <w:r>
        <w:rPr>
          <w:rFonts w:cs="Garamond" w:ascii="Garamond" w:hAnsi="Garamond"/>
          <w:iCs/>
          <w:sz w:val="24"/>
          <w:szCs w:val="24"/>
          <w:lang w:val="en-US"/>
        </w:rPr>
        <w:t>Butzer</w:t>
      </w:r>
      <w:r>
        <w:rPr>
          <w:rFonts w:cs="Garamond" w:ascii="Garamond" w:hAnsi="Garamond"/>
          <w:iCs/>
          <w:sz w:val="24"/>
          <w:szCs w:val="24"/>
        </w:rPr>
        <w:t>, 1959</w:t>
      </w:r>
      <w:r>
        <w:rPr>
          <w:rFonts w:cs="Garamond" w:ascii="Garamond" w:hAnsi="Garamond"/>
          <w:iCs/>
          <w:sz w:val="24"/>
          <w:szCs w:val="24"/>
          <w:lang w:val="en-US"/>
        </w:rPr>
        <w:t>a</w:t>
      </w:r>
      <w:r>
        <w:rPr>
          <w:rFonts w:cs="Garamond" w:ascii="Garamond" w:hAnsi="Garamond"/>
          <w:iCs/>
          <w:sz w:val="24"/>
          <w:szCs w:val="24"/>
        </w:rPr>
        <w:t xml:space="preserve">; </w:t>
      </w:r>
      <w:r>
        <w:rPr>
          <w:rFonts w:cs="Garamond" w:ascii="Garamond" w:hAnsi="Garamond"/>
          <w:sz w:val="24"/>
          <w:szCs w:val="24"/>
          <w:lang w:val="en-US"/>
        </w:rPr>
        <w:t>Williams</w:t>
      </w:r>
      <w:r>
        <w:rPr>
          <w:rFonts w:cs="Garamond" w:ascii="Garamond" w:hAnsi="Garamond"/>
          <w:sz w:val="24"/>
          <w:szCs w:val="24"/>
        </w:rPr>
        <w:t xml:space="preserve">, </w:t>
      </w:r>
      <w:r>
        <w:rPr>
          <w:rFonts w:cs="Garamond" w:ascii="Garamond" w:hAnsi="Garamond"/>
          <w:sz w:val="24"/>
          <w:szCs w:val="24"/>
          <w:lang w:val="en-US"/>
        </w:rPr>
        <w:t>Williams</w:t>
      </w:r>
      <w:r>
        <w:rPr>
          <w:rFonts w:cs="Garamond" w:ascii="Garamond" w:hAnsi="Garamond"/>
          <w:sz w:val="24"/>
          <w:szCs w:val="24"/>
        </w:rPr>
        <w:t>, 1980]). Этой «фазовой перестройке» способствовали длительные и сложные геологические процессы, в ходе которых окончательно определился рельеф Эфиопского нагорья с озером Тана и устойчивым поверхностным стоком в нильский бассейн, и произошла деформация рифта Альбертин</w:t>
      </w:r>
      <w:r>
        <w:rPr>
          <w:rStyle w:val="Style14"/>
          <w:rStyle w:val="Style19"/>
          <w:rFonts w:cs="Garamond" w:ascii="Garamond" w:hAnsi="Garamond"/>
          <w:sz w:val="24"/>
          <w:szCs w:val="24"/>
        </w:rPr>
        <w:footnoteReference w:id="9"/>
      </w:r>
      <w:r>
        <w:rPr>
          <w:rFonts w:cs="Garamond" w:ascii="Garamond" w:hAnsi="Garamond"/>
          <w:sz w:val="24"/>
          <w:szCs w:val="24"/>
        </w:rPr>
        <w:t>, перенаправившая часть стока Конго на восток, в межрифтовую тектоническую впадину, где образовалось огромное озеро Виктория</w:t>
      </w:r>
      <w:r>
        <w:rPr>
          <w:rFonts w:cs="Garamond" w:ascii="Garamond" w:hAnsi="Garamond"/>
          <w:sz w:val="24"/>
          <w:szCs w:val="24"/>
          <w:lang w:val="en-US"/>
        </w:rPr>
        <w:t> </w:t>
      </w:r>
      <w:r>
        <w:rPr>
          <w:rFonts w:cs="Garamond" w:ascii="Garamond" w:hAnsi="Garamond"/>
          <w:sz w:val="24"/>
          <w:szCs w:val="24"/>
        </w:rPr>
        <w:t>— последний недостающий элемент будущей грандиозной гидросистемы Нила (см.: [</w:t>
      </w:r>
      <w:r>
        <w:rPr>
          <w:rFonts w:cs="Garamond" w:ascii="Garamond" w:hAnsi="Garamond"/>
          <w:sz w:val="24"/>
          <w:szCs w:val="24"/>
          <w:lang w:val="en-US"/>
        </w:rPr>
        <w:t>Shahin</w:t>
      </w:r>
      <w:r>
        <w:rPr>
          <w:rFonts w:cs="Garamond" w:ascii="Garamond" w:hAnsi="Garamond"/>
          <w:sz w:val="24"/>
          <w:szCs w:val="24"/>
        </w:rPr>
        <w:t>, 1985]). Могучий Пренил с его интенсивной наносной деятельностью внес важнейший вклад в формирование ландшафта исторического Египта: так, отложенные им поверх плотных влагонепроницаемых глин Палеонила песчаные толщи послужили главным вместилищем грунтовых вод Долины (обнажения тех же песков промышленно разрабатываются для целей городского строительства по всей стране), а возвышающиеся над низовыми пойменными землями аллювиальные песчаные холмы пренильского происхождения — так называемые «черепашьи спины»</w:t>
      </w:r>
      <w:r>
        <w:rPr>
          <w:rFonts w:cs="Garamond" w:ascii="Garamond" w:hAnsi="Garamond"/>
          <w:sz w:val="24"/>
          <w:szCs w:val="24"/>
          <w:lang w:val="en-US"/>
        </w:rPr>
        <w:t> </w:t>
      </w:r>
      <w:r>
        <w:rPr>
          <w:rFonts w:cs="Garamond" w:ascii="Garamond" w:hAnsi="Garamond"/>
          <w:sz w:val="24"/>
          <w:szCs w:val="24"/>
        </w:rPr>
        <w:t>— сыграли цементирующую роль надежных постоянных пристанищ (кое-где разросшихся в города: Буто, Мендес и др.) при заселении египтянами избыточно увлажненной и заболоченной до- и раннединастической Дельты (см.: [Прусаков, 2009]).</w:t>
      </w:r>
    </w:p>
    <w:p>
      <w:pPr>
        <w:pStyle w:val="Normal"/>
        <w:autoSpaceDE w:val="false"/>
        <w:ind w:end="-31" w:firstLine="720"/>
        <w:jc w:val="both"/>
        <w:rPr/>
      </w:pPr>
      <w:r>
        <w:rPr>
          <w:rFonts w:cs="Garamond" w:ascii="Garamond" w:hAnsi="Garamond"/>
          <w:sz w:val="24"/>
          <w:szCs w:val="24"/>
        </w:rPr>
        <w:t>Стабильно-полноводный Пренил резко «иссяк» около 400 тыс. лет назад, что отмечено специалистами как переход к фазе Неонила — реки-трансформера с переменным объемом стока, которая то утрачивала, то восстанавливала, то приобретала новые связи с «африканскими источниками» в зависимости от континентальных и глобальных тектонических, климатических и других природных сдвигов или катаклизмов. Среди ее древних формообразований различают наиболее водоносный альфа-Неонил, вбиравший в себя суммарный сток Эфиопского нагорья, Нубийского массива  и  египетских  восточных  вади</w:t>
      </w:r>
      <w:r>
        <w:rPr>
          <w:rStyle w:val="Style14"/>
          <w:rStyle w:val="Style19"/>
          <w:rFonts w:cs="Garamond" w:ascii="Garamond" w:hAnsi="Garamond"/>
          <w:sz w:val="24"/>
          <w:szCs w:val="24"/>
        </w:rPr>
        <w:footnoteReference w:id="10"/>
      </w:r>
      <w:r>
        <w:rPr>
          <w:rFonts w:cs="Garamond" w:ascii="Garamond" w:hAnsi="Garamond"/>
          <w:sz w:val="24"/>
          <w:szCs w:val="24"/>
        </w:rPr>
        <w:t>,  и  подпитывавшийся  лишь  из  Эфиопии значительно обмелевший, даже сезонный (возможно, пересыхавший или превращавшийся в цепочку маленьких озер зимой наподобие нынешней Атбары) бета- и гамма-Неонил вюрмской ледниковой эпохи с ее аридизацией африканских климатов [</w:t>
      </w:r>
      <w:r>
        <w:rPr>
          <w:rFonts w:cs="Garamond" w:ascii="Garamond" w:hAnsi="Garamond"/>
          <w:sz w:val="24"/>
          <w:szCs w:val="24"/>
          <w:lang w:val="en-US"/>
        </w:rPr>
        <w:t>Said</w:t>
      </w:r>
      <w:r>
        <w:rPr>
          <w:rFonts w:cs="Garamond" w:ascii="Garamond" w:hAnsi="Garamond"/>
          <w:sz w:val="24"/>
          <w:szCs w:val="24"/>
        </w:rPr>
        <w:t>, 1993]. По имеющимся оценкам, около 30–15 тыс. лет назад или на исходе вюрма Неонил,  откатившись  к  востоку  от террас  Пренила  и  своих  собственных</w:t>
      </w:r>
      <w:r>
        <w:rPr>
          <w:rStyle w:val="Style14"/>
          <w:rStyle w:val="Style19"/>
          <w:rFonts w:cs="Garamond" w:ascii="Garamond" w:hAnsi="Garamond"/>
          <w:sz w:val="24"/>
          <w:szCs w:val="24"/>
        </w:rPr>
        <w:footnoteReference w:id="11"/>
      </w:r>
      <w:r>
        <w:rPr>
          <w:rFonts w:cs="Garamond" w:ascii="Garamond" w:hAnsi="Garamond"/>
          <w:sz w:val="24"/>
          <w:szCs w:val="24"/>
        </w:rPr>
        <w:t xml:space="preserve">,  стал прокладывать в Египте «финальное» русло одной из величайших рек земного шара, которая, однако, «сегодня» (в масштабе геологического времени это весь исторический период) представляет собой не более чем </w:t>
      </w:r>
      <w:r>
        <w:rPr>
          <w:rFonts w:cs="Garamond" w:ascii="Garamond" w:hAnsi="Garamond"/>
          <w:i/>
          <w:sz w:val="24"/>
          <w:szCs w:val="24"/>
        </w:rPr>
        <w:t>«скромную наследницу могучих потоков, некогда господствовавших в нильской долине»</w:t>
      </w:r>
      <w:r>
        <w:rPr>
          <w:rFonts w:cs="Garamond" w:ascii="Garamond" w:hAnsi="Garamond"/>
          <w:sz w:val="24"/>
          <w:szCs w:val="24"/>
        </w:rPr>
        <w:t>, никогда не достигавшую их максимального размаха [</w:t>
      </w:r>
      <w:r>
        <w:rPr>
          <w:rFonts w:cs="Garamond" w:ascii="Garamond" w:hAnsi="Garamond"/>
          <w:sz w:val="24"/>
          <w:szCs w:val="24"/>
          <w:lang w:val="en-US"/>
        </w:rPr>
        <w:t>Said</w:t>
      </w:r>
      <w:r>
        <w:rPr>
          <w:rFonts w:cs="Garamond" w:ascii="Garamond" w:hAnsi="Garamond"/>
          <w:sz w:val="24"/>
          <w:szCs w:val="24"/>
        </w:rPr>
        <w:t>, 1976; 1981].</w:t>
      </w:r>
    </w:p>
    <w:p>
      <w:pPr>
        <w:pStyle w:val="Normal"/>
        <w:autoSpaceDE w:val="false"/>
        <w:ind w:end="-31" w:firstLine="720"/>
        <w:jc w:val="both"/>
        <w:rPr/>
      </w:pPr>
      <w:r>
        <w:rPr>
          <w:rFonts w:cs="Garamond" w:ascii="Garamond" w:hAnsi="Garamond"/>
          <w:sz w:val="24"/>
          <w:szCs w:val="24"/>
        </w:rPr>
        <w:t>Эволюция нильского бассейна (см.: [</w:t>
      </w:r>
      <w:r>
        <w:rPr>
          <w:rFonts w:cs="Garamond" w:ascii="Garamond" w:hAnsi="Garamond"/>
          <w:iCs/>
          <w:sz w:val="24"/>
          <w:szCs w:val="24"/>
          <w:lang w:val="en-US"/>
        </w:rPr>
        <w:t>Selley</w:t>
      </w:r>
      <w:r>
        <w:rPr>
          <w:rFonts w:cs="Garamond" w:ascii="Garamond" w:hAnsi="Garamond"/>
          <w:iCs/>
          <w:sz w:val="24"/>
          <w:szCs w:val="24"/>
        </w:rPr>
        <w:t>, 1997</w:t>
      </w:r>
      <w:r>
        <w:rPr>
          <w:rFonts w:cs="Garamond" w:ascii="Garamond" w:hAnsi="Garamond"/>
          <w:sz w:val="24"/>
          <w:szCs w:val="24"/>
        </w:rPr>
        <w:t>]) от разрозненных водосборов к конфигурации и режиму его сегодняшней сложносоставной гидросети, неотделимой и полностью зависимой от постоянных «великих» озер Восточно-Африканского разлома (Виктория, Альберт и др.) и Эфиопии (Тана), включала спорадическое образование на различных русловых участках Реки временных водоемов, обусловленное особенными сочетаниями, как правило, климатического и иных параллельно благоприятствовавших этому «случайных» естественных факторов. Хронологически ближайшими к нам примерами разной степени гипотетичности являются: «мегаозеро Белый Нил» длиной до 650 км и шириной до 80 км, возникшее на чрезвычайно пологой равнине между устьем Собата и Хартумом, по одной из версий, 109 ± 8 тыс. лет назад и просуществовавшее несколько (до десяти) тысяч лет [</w:t>
      </w:r>
      <w:r>
        <w:rPr>
          <w:rFonts w:cs="Garamond" w:ascii="Garamond" w:hAnsi="Garamond"/>
          <w:sz w:val="24"/>
          <w:szCs w:val="24"/>
          <w:lang w:val="en-US"/>
        </w:rPr>
        <w:t>Barrows</w:t>
      </w:r>
      <w:r>
        <w:rPr>
          <w:rFonts w:cs="Garamond" w:ascii="Garamond" w:hAnsi="Garamond"/>
          <w:sz w:val="24"/>
          <w:szCs w:val="24"/>
        </w:rPr>
        <w:t xml:space="preserve"> </w:t>
      </w:r>
      <w:r>
        <w:rPr>
          <w:rFonts w:cs="Garamond" w:ascii="Garamond" w:hAnsi="Garamond"/>
          <w:sz w:val="24"/>
          <w:szCs w:val="24"/>
          <w:lang w:val="en-US"/>
        </w:rPr>
        <w:t>et</w:t>
      </w:r>
      <w:r>
        <w:rPr>
          <w:rFonts w:cs="Garamond" w:ascii="Garamond" w:hAnsi="Garamond"/>
          <w:sz w:val="24"/>
          <w:szCs w:val="24"/>
        </w:rPr>
        <w:t xml:space="preserve"> </w:t>
      </w:r>
      <w:r>
        <w:rPr>
          <w:rFonts w:cs="Garamond" w:ascii="Garamond" w:hAnsi="Garamond"/>
          <w:sz w:val="24"/>
          <w:szCs w:val="24"/>
          <w:lang w:val="en-US"/>
        </w:rPr>
        <w:t>al</w:t>
      </w:r>
      <w:r>
        <w:rPr>
          <w:rFonts w:cs="Garamond" w:ascii="Garamond" w:hAnsi="Garamond"/>
          <w:sz w:val="24"/>
          <w:szCs w:val="24"/>
        </w:rPr>
        <w:t xml:space="preserve">., 2014; </w:t>
      </w:r>
      <w:r>
        <w:rPr>
          <w:rFonts w:cs="Garamond" w:ascii="Garamond" w:hAnsi="Garamond"/>
          <w:sz w:val="24"/>
          <w:szCs w:val="24"/>
          <w:lang w:val="en-US"/>
        </w:rPr>
        <w:t>Williams</w:t>
      </w:r>
      <w:r>
        <w:rPr>
          <w:rFonts w:cs="Garamond" w:ascii="Garamond" w:hAnsi="Garamond"/>
          <w:sz w:val="24"/>
          <w:szCs w:val="24"/>
        </w:rPr>
        <w:t xml:space="preserve">, 2009; </w:t>
      </w:r>
      <w:r>
        <w:rPr>
          <w:rFonts w:cs="Garamond" w:ascii="Garamond" w:hAnsi="Garamond"/>
          <w:sz w:val="24"/>
          <w:szCs w:val="24"/>
          <w:lang w:val="en-US"/>
        </w:rPr>
        <w:t>Williams</w:t>
      </w:r>
      <w:r>
        <w:rPr>
          <w:rFonts w:cs="Garamond" w:ascii="Garamond" w:hAnsi="Garamond"/>
          <w:sz w:val="24"/>
          <w:szCs w:val="24"/>
        </w:rPr>
        <w:t xml:space="preserve"> </w:t>
      </w:r>
      <w:r>
        <w:rPr>
          <w:rFonts w:cs="Garamond" w:ascii="Garamond" w:hAnsi="Garamond"/>
          <w:sz w:val="24"/>
          <w:szCs w:val="24"/>
          <w:lang w:val="en-US"/>
        </w:rPr>
        <w:t>et</w:t>
      </w:r>
      <w:r>
        <w:rPr>
          <w:rFonts w:cs="Garamond" w:ascii="Garamond" w:hAnsi="Garamond"/>
          <w:sz w:val="24"/>
          <w:szCs w:val="24"/>
        </w:rPr>
        <w:t xml:space="preserve"> </w:t>
      </w:r>
      <w:r>
        <w:rPr>
          <w:rFonts w:cs="Garamond" w:ascii="Garamond" w:hAnsi="Garamond"/>
          <w:sz w:val="24"/>
          <w:szCs w:val="24"/>
          <w:lang w:val="en-US"/>
        </w:rPr>
        <w:t>al</w:t>
      </w:r>
      <w:r>
        <w:rPr>
          <w:rFonts w:cs="Garamond" w:ascii="Garamond" w:hAnsi="Garamond"/>
          <w:sz w:val="24"/>
          <w:szCs w:val="24"/>
        </w:rPr>
        <w:t>., 2003]; «озеро Махадма», разливавшееся 24–18 тыс. лет назад на всю ширину Долины в запруженной песчаными эоловыми наносами «фиванской излучине» верхнеегипетского Нила выше Наг-Хаммади [</w:t>
      </w:r>
      <w:r>
        <w:rPr>
          <w:rFonts w:cs="Garamond" w:ascii="Garamond" w:hAnsi="Garamond"/>
          <w:sz w:val="24"/>
          <w:szCs w:val="24"/>
          <w:lang w:val="en-US"/>
        </w:rPr>
        <w:t>Vermeersch</w:t>
      </w:r>
      <w:r>
        <w:rPr>
          <w:rFonts w:cs="Garamond" w:ascii="Garamond" w:hAnsi="Garamond"/>
          <w:sz w:val="24"/>
          <w:szCs w:val="24"/>
        </w:rPr>
        <w:t xml:space="preserve">, </w:t>
      </w:r>
      <w:r>
        <w:rPr>
          <w:rFonts w:cs="Garamond" w:ascii="Garamond" w:hAnsi="Garamond"/>
          <w:sz w:val="24"/>
          <w:szCs w:val="24"/>
          <w:lang w:val="en-US"/>
        </w:rPr>
        <w:t>van</w:t>
      </w:r>
      <w:r>
        <w:rPr>
          <w:rFonts w:cs="Garamond" w:ascii="Garamond" w:hAnsi="Garamond"/>
          <w:sz w:val="24"/>
          <w:szCs w:val="24"/>
        </w:rPr>
        <w:t xml:space="preserve"> </w:t>
      </w:r>
      <w:r>
        <w:rPr>
          <w:rFonts w:cs="Garamond" w:ascii="Garamond" w:hAnsi="Garamond"/>
          <w:sz w:val="24"/>
          <w:szCs w:val="24"/>
          <w:lang w:val="en-US"/>
        </w:rPr>
        <w:t>Neer</w:t>
      </w:r>
      <w:r>
        <w:rPr>
          <w:rFonts w:cs="Garamond" w:ascii="Garamond" w:hAnsi="Garamond"/>
          <w:sz w:val="24"/>
          <w:szCs w:val="24"/>
        </w:rPr>
        <w:t xml:space="preserve">, 2015; </w:t>
      </w:r>
      <w:r>
        <w:rPr>
          <w:rFonts w:cs="Garamond" w:ascii="Garamond" w:hAnsi="Garamond"/>
          <w:sz w:val="24"/>
          <w:szCs w:val="24"/>
          <w:lang w:val="en-US"/>
        </w:rPr>
        <w:t>Vermeersch</w:t>
      </w:r>
      <w:r>
        <w:rPr>
          <w:rFonts w:cs="Garamond" w:ascii="Garamond" w:hAnsi="Garamond"/>
          <w:sz w:val="24"/>
          <w:szCs w:val="24"/>
        </w:rPr>
        <w:t xml:space="preserve">, </w:t>
      </w:r>
      <w:r>
        <w:rPr>
          <w:rFonts w:cs="Garamond" w:ascii="Garamond" w:hAnsi="Garamond"/>
          <w:sz w:val="24"/>
          <w:szCs w:val="24"/>
          <w:lang w:val="en-US"/>
        </w:rPr>
        <w:t>van</w:t>
      </w:r>
      <w:r>
        <w:rPr>
          <w:rFonts w:cs="Garamond" w:ascii="Garamond" w:hAnsi="Garamond"/>
          <w:sz w:val="24"/>
          <w:szCs w:val="24"/>
        </w:rPr>
        <w:t xml:space="preserve"> </w:t>
      </w:r>
      <w:r>
        <w:rPr>
          <w:rFonts w:cs="Garamond" w:ascii="Garamond" w:hAnsi="Garamond"/>
          <w:sz w:val="24"/>
          <w:szCs w:val="24"/>
          <w:lang w:val="en-US"/>
        </w:rPr>
        <w:t>Neer</w:t>
      </w:r>
      <w:r>
        <w:rPr>
          <w:rFonts w:cs="Garamond" w:ascii="Garamond" w:hAnsi="Garamond"/>
          <w:sz w:val="24"/>
          <w:szCs w:val="24"/>
        </w:rPr>
        <w:t xml:space="preserve">, </w:t>
      </w:r>
      <w:r>
        <w:rPr>
          <w:rFonts w:cs="Garamond" w:ascii="Garamond" w:hAnsi="Garamond"/>
          <w:sz w:val="24"/>
          <w:szCs w:val="24"/>
          <w:lang w:val="en-US"/>
        </w:rPr>
        <w:t>Gullentops</w:t>
      </w:r>
      <w:r>
        <w:rPr>
          <w:rFonts w:cs="Garamond" w:ascii="Garamond" w:hAnsi="Garamond"/>
          <w:sz w:val="24"/>
          <w:szCs w:val="24"/>
        </w:rPr>
        <w:t>, 2006]; «выход из берегов» на 20–40 км Белого Нила в Судане вследствие резкого увеличения общенильского стока («</w:t>
      </w:r>
      <w:r>
        <w:rPr>
          <w:rFonts w:cs="Garamond" w:ascii="Garamond" w:hAnsi="Garamond"/>
          <w:sz w:val="24"/>
          <w:szCs w:val="24"/>
          <w:lang w:val="en-US"/>
        </w:rPr>
        <w:t>Wild</w:t>
      </w:r>
      <w:r>
        <w:rPr>
          <w:rFonts w:cs="Garamond" w:ascii="Garamond" w:hAnsi="Garamond"/>
          <w:sz w:val="24"/>
          <w:szCs w:val="24"/>
        </w:rPr>
        <w:t xml:space="preserve"> </w:t>
      </w:r>
      <w:r>
        <w:rPr>
          <w:rFonts w:cs="Garamond" w:ascii="Garamond" w:hAnsi="Garamond"/>
          <w:sz w:val="24"/>
          <w:szCs w:val="24"/>
          <w:lang w:val="en-US"/>
        </w:rPr>
        <w:t>Nile</w:t>
      </w:r>
      <w:r>
        <w:rPr>
          <w:rFonts w:cs="Garamond" w:ascii="Garamond" w:hAnsi="Garamond"/>
          <w:sz w:val="24"/>
          <w:szCs w:val="24"/>
        </w:rPr>
        <w:t>» [</w:t>
      </w:r>
      <w:r>
        <w:rPr>
          <w:rFonts w:cs="Garamond" w:ascii="Garamond" w:hAnsi="Garamond"/>
          <w:iCs/>
          <w:sz w:val="24"/>
          <w:szCs w:val="24"/>
          <w:lang w:val="en-US"/>
        </w:rPr>
        <w:t>Butzer</w:t>
      </w:r>
      <w:r>
        <w:rPr>
          <w:rFonts w:cs="Garamond" w:ascii="Garamond" w:hAnsi="Garamond"/>
          <w:sz w:val="24"/>
          <w:szCs w:val="24"/>
        </w:rPr>
        <w:t>, 1980]) на рубеже плейстоцена и голоцена</w:t>
      </w:r>
      <w:r>
        <w:rPr>
          <w:rStyle w:val="Style14"/>
          <w:rStyle w:val="Style19"/>
          <w:rFonts w:cs="Garamond" w:ascii="Garamond" w:hAnsi="Garamond"/>
          <w:sz w:val="24"/>
          <w:szCs w:val="24"/>
        </w:rPr>
        <w:footnoteReference w:id="12"/>
      </w:r>
      <w:r>
        <w:rPr>
          <w:rFonts w:cs="Garamond" w:ascii="Garamond" w:hAnsi="Garamond"/>
          <w:sz w:val="24"/>
          <w:szCs w:val="24"/>
        </w:rPr>
        <w:t xml:space="preserve">, с дальнейшим сохранением на этом речном отрезке цепи озер и болот приблизительно до </w:t>
      </w:r>
      <w:r>
        <w:rPr>
          <w:rFonts w:cs="Garamond" w:ascii="Garamond" w:hAnsi="Garamond"/>
          <w:sz w:val="24"/>
          <w:szCs w:val="24"/>
          <w:lang w:val="en-US"/>
        </w:rPr>
        <w:t>VII</w:t>
      </w:r>
      <w:r>
        <w:rPr>
          <w:rFonts w:cs="Garamond" w:ascii="Garamond" w:hAnsi="Garamond"/>
          <w:sz w:val="24"/>
          <w:szCs w:val="24"/>
        </w:rPr>
        <w:t> тыс. до н. э. [</w:t>
      </w:r>
      <w:r>
        <w:rPr>
          <w:rFonts w:cs="Garamond" w:ascii="Garamond" w:hAnsi="Garamond"/>
          <w:sz w:val="24"/>
          <w:szCs w:val="24"/>
          <w:lang w:val="en-US"/>
        </w:rPr>
        <w:t>Barrows</w:t>
      </w:r>
      <w:r>
        <w:rPr>
          <w:rFonts w:cs="Garamond" w:ascii="Garamond" w:hAnsi="Garamond"/>
          <w:sz w:val="24"/>
          <w:szCs w:val="24"/>
        </w:rPr>
        <w:t xml:space="preserve"> </w:t>
      </w:r>
      <w:r>
        <w:rPr>
          <w:rFonts w:cs="Garamond" w:ascii="Garamond" w:hAnsi="Garamond"/>
          <w:sz w:val="24"/>
          <w:szCs w:val="24"/>
          <w:lang w:val="en-US"/>
        </w:rPr>
        <w:t>et</w:t>
      </w:r>
      <w:r>
        <w:rPr>
          <w:rFonts w:cs="Garamond" w:ascii="Garamond" w:hAnsi="Garamond"/>
          <w:sz w:val="24"/>
          <w:szCs w:val="24"/>
        </w:rPr>
        <w:t xml:space="preserve"> </w:t>
      </w:r>
      <w:r>
        <w:rPr>
          <w:rFonts w:cs="Garamond" w:ascii="Garamond" w:hAnsi="Garamond"/>
          <w:sz w:val="24"/>
          <w:szCs w:val="24"/>
          <w:lang w:val="en-US"/>
        </w:rPr>
        <w:t>al</w:t>
      </w:r>
      <w:r>
        <w:rPr>
          <w:rFonts w:cs="Garamond" w:ascii="Garamond" w:hAnsi="Garamond"/>
          <w:sz w:val="24"/>
          <w:szCs w:val="24"/>
        </w:rPr>
        <w:t xml:space="preserve">., 2014; </w:t>
      </w:r>
      <w:r>
        <w:rPr>
          <w:rFonts w:cs="Garamond" w:ascii="Garamond" w:hAnsi="Garamond"/>
          <w:sz w:val="24"/>
          <w:szCs w:val="24"/>
          <w:lang w:val="en-US"/>
        </w:rPr>
        <w:t>Said</w:t>
      </w:r>
      <w:r>
        <w:rPr>
          <w:rFonts w:cs="Garamond" w:ascii="Garamond" w:hAnsi="Garamond"/>
          <w:sz w:val="24"/>
          <w:szCs w:val="24"/>
        </w:rPr>
        <w:t xml:space="preserve">, 1993; </w:t>
      </w:r>
      <w:r>
        <w:rPr>
          <w:rFonts w:cs="Garamond" w:ascii="Garamond" w:hAnsi="Garamond"/>
          <w:sz w:val="24"/>
          <w:szCs w:val="24"/>
          <w:lang w:val="en-US"/>
        </w:rPr>
        <w:t>Williams</w:t>
      </w:r>
      <w:r>
        <w:rPr>
          <w:rFonts w:cs="Garamond" w:ascii="Garamond" w:hAnsi="Garamond"/>
          <w:sz w:val="24"/>
          <w:szCs w:val="24"/>
        </w:rPr>
        <w:t xml:space="preserve">, 2009]. По моей гипотезе, еще одно «море» на Ниле, размерами и глубинами сопоставимое с «экваториальным» озером Альберт на границе Уганды и Демократической Республики Конго, могло образоваться в Египте между Асиутом и Фаюмом в </w:t>
      </w:r>
      <w:r>
        <w:rPr>
          <w:rFonts w:cs="Garamond" w:ascii="Garamond" w:hAnsi="Garamond"/>
          <w:sz w:val="24"/>
          <w:szCs w:val="24"/>
          <w:lang w:val="en-US"/>
        </w:rPr>
        <w:t>VII</w:t>
      </w:r>
      <w:r>
        <w:rPr>
          <w:rFonts w:cs="Garamond" w:ascii="Garamond" w:hAnsi="Garamond"/>
          <w:sz w:val="24"/>
          <w:szCs w:val="24"/>
        </w:rPr>
        <w:t>–</w:t>
      </w:r>
      <w:r>
        <w:rPr>
          <w:rFonts w:cs="Garamond" w:ascii="Garamond" w:hAnsi="Garamond"/>
          <w:sz w:val="24"/>
          <w:szCs w:val="24"/>
          <w:lang w:val="en-US"/>
        </w:rPr>
        <w:t>IV</w:t>
      </w:r>
      <w:r>
        <w:rPr>
          <w:rFonts w:cs="Garamond" w:ascii="Garamond" w:hAnsi="Garamond"/>
          <w:sz w:val="24"/>
          <w:szCs w:val="24"/>
        </w:rPr>
        <w:t xml:space="preserve"> тыс. до н. э. в ходе фландрской трансгрессии Мирового океана и очередного повышения полноводности Реки в условиях потепления раннего и среднего голоцена с кульминацией (около 5500 некалибр. л. н. </w:t>
      </w:r>
      <w:r>
        <w:rPr>
          <w:rFonts w:cs="Garamond" w:ascii="Garamond" w:hAnsi="Garamond"/>
          <w:spacing w:val="-3"/>
          <w:sz w:val="24"/>
          <w:szCs w:val="24"/>
        </w:rPr>
        <w:t>≈ 4344 г. до н. э. [</w:t>
      </w:r>
      <w:r>
        <w:rPr>
          <w:rFonts w:cs="Garamond" w:ascii="Garamond" w:hAnsi="Garamond"/>
          <w:sz w:val="24"/>
          <w:szCs w:val="24"/>
        </w:rPr>
        <w:t>Клименко</w:t>
      </w:r>
      <w:r>
        <w:rPr>
          <w:rFonts w:cs="Garamond" w:ascii="Garamond" w:hAnsi="Garamond"/>
          <w:spacing w:val="-3"/>
          <w:sz w:val="24"/>
          <w:szCs w:val="24"/>
        </w:rPr>
        <w:t>, 1997]</w:t>
      </w:r>
      <w:r>
        <w:rPr>
          <w:rFonts w:cs="Garamond" w:ascii="Garamond" w:hAnsi="Garamond"/>
          <w:sz w:val="24"/>
          <w:szCs w:val="24"/>
        </w:rPr>
        <w:t>) влажного атлантического термического оптимума [Прусаков, 2018а]. Именно такого рода гидрологический феномен в масштабах страны мог создать помеху территориальному контакту и слиянию Верхнего и Нижнего Египта в неолите</w:t>
      </w:r>
      <w:r>
        <w:rPr>
          <w:rStyle w:val="Style14"/>
          <w:rStyle w:val="Style19"/>
          <w:rFonts w:cs="Garamond" w:ascii="Garamond" w:hAnsi="Garamond"/>
          <w:sz w:val="24"/>
          <w:szCs w:val="24"/>
        </w:rPr>
        <w:footnoteReference w:id="13"/>
      </w:r>
      <w:r>
        <w:rPr>
          <w:rFonts w:cs="Garamond" w:ascii="Garamond" w:hAnsi="Garamond"/>
          <w:sz w:val="24"/>
          <w:szCs w:val="24"/>
        </w:rPr>
        <w:t xml:space="preserve">, когда Верхний Египет и Нижняя Нубия (традиции Нагада и Группа А, </w:t>
      </w:r>
      <w:r>
        <w:rPr>
          <w:rFonts w:cs="Garamond" w:ascii="Garamond" w:hAnsi="Garamond"/>
          <w:sz w:val="24"/>
          <w:szCs w:val="24"/>
          <w:lang w:val="en-US"/>
        </w:rPr>
        <w:t>IV</w:t>
      </w:r>
      <w:r>
        <w:rPr>
          <w:rFonts w:cs="Garamond" w:ascii="Garamond" w:hAnsi="Garamond"/>
          <w:sz w:val="24"/>
          <w:szCs w:val="24"/>
        </w:rPr>
        <w:t> тыс. до н. э.), наоборот, развивали все более тесные этнические, культурные, торговые и прочие цивилизационные взаимоотношения, рассмотренные в первой части настоящей статьи [Прусаков, 2019а].</w:t>
      </w:r>
    </w:p>
    <w:p>
      <w:pPr>
        <w:pStyle w:val="Normal"/>
        <w:autoSpaceDE w:val="false"/>
        <w:ind w:end="-31" w:firstLine="720"/>
        <w:jc w:val="both"/>
        <w:rPr/>
      </w:pPr>
      <w:r>
        <w:rPr>
          <w:rFonts w:cs="Garamond" w:ascii="Garamond" w:hAnsi="Garamond"/>
          <w:sz w:val="24"/>
          <w:szCs w:val="24"/>
        </w:rPr>
        <w:t>Воспрепятствовав в обозначенный период (Нагада</w:t>
      </w:r>
      <w:r>
        <w:rPr>
          <w:rFonts w:cs="Garamond" w:ascii="Garamond" w:hAnsi="Garamond"/>
          <w:sz w:val="24"/>
          <w:szCs w:val="24"/>
          <w:lang w:val="en-US"/>
        </w:rPr>
        <w:t> I</w:t>
      </w:r>
      <w:r>
        <w:rPr>
          <w:rFonts w:cs="Garamond" w:ascii="Garamond" w:hAnsi="Garamond"/>
          <w:sz w:val="24"/>
          <w:szCs w:val="24"/>
        </w:rPr>
        <w:t xml:space="preserve">) аналогичному «интеграционному» сближению севера и юга Египта, среднеегипетское «голоценовое море» своим исчезновением из нильской Долины во второй половине </w:t>
      </w:r>
      <w:r>
        <w:rPr>
          <w:rFonts w:cs="Garamond" w:ascii="Garamond" w:hAnsi="Garamond"/>
          <w:sz w:val="24"/>
          <w:szCs w:val="24"/>
          <w:lang w:val="en-US"/>
        </w:rPr>
        <w:t>IV </w:t>
      </w:r>
      <w:r>
        <w:rPr>
          <w:rFonts w:cs="Garamond" w:ascii="Garamond" w:hAnsi="Garamond"/>
          <w:sz w:val="24"/>
          <w:szCs w:val="24"/>
        </w:rPr>
        <w:t xml:space="preserve">тыс. до н. э. (Нагада </w:t>
      </w:r>
      <w:r>
        <w:rPr>
          <w:rFonts w:cs="Garamond" w:ascii="Garamond" w:hAnsi="Garamond"/>
          <w:sz w:val="24"/>
          <w:szCs w:val="24"/>
          <w:lang w:val="en-US"/>
        </w:rPr>
        <w:t>II</w:t>
      </w:r>
      <w:r>
        <w:rPr>
          <w:rFonts w:cs="Garamond" w:ascii="Garamond" w:hAnsi="Garamond"/>
          <w:sz w:val="24"/>
          <w:szCs w:val="24"/>
        </w:rPr>
        <w:t>–</w:t>
      </w:r>
      <w:r>
        <w:rPr>
          <w:rFonts w:cs="Garamond" w:ascii="Garamond" w:hAnsi="Garamond"/>
          <w:sz w:val="24"/>
          <w:szCs w:val="24"/>
          <w:lang w:val="en-US"/>
        </w:rPr>
        <w:t>III</w:t>
      </w:r>
      <w:r>
        <w:rPr>
          <w:rFonts w:cs="Garamond" w:ascii="Garamond" w:hAnsi="Garamond"/>
          <w:sz w:val="24"/>
          <w:szCs w:val="24"/>
        </w:rPr>
        <w:t>) должно было с той же вероятностью способствовать их первичному геополитическому объединению на этапе прото- и раннединастического (архаического) государства фараонов. При этом нет никаких сомнений в том, что это объединение и синхронное ему резкое отпадение Нижней Нубии, с превращением ее в неприятельское зарубежье и разрушением складывавшегося веками «симбиоза» верхнеегиптян и «эфиопов»  в  двустороннем  приграничье  1-го  («Сиенского»)  порога  Нила</w:t>
      </w:r>
      <w:r>
        <w:rPr>
          <w:rStyle w:val="Style14"/>
          <w:rStyle w:val="Style19"/>
          <w:rFonts w:cs="Garamond" w:ascii="Garamond" w:hAnsi="Garamond"/>
          <w:sz w:val="24"/>
          <w:szCs w:val="24"/>
        </w:rPr>
        <w:footnoteReference w:id="14"/>
      </w:r>
      <w:r>
        <w:rPr>
          <w:rFonts w:cs="Garamond" w:ascii="Garamond" w:hAnsi="Garamond"/>
          <w:sz w:val="24"/>
          <w:szCs w:val="24"/>
        </w:rPr>
        <w:t>,  были эпизодами общего исторического процесса генезиса древнеегипетской цивилизации. Стремительный разрыв с Нубией сопровождался, по-видимому, существенным сокращением населения северной оконечности страны между Даккой и Асуаном (см.: [</w:t>
      </w:r>
      <w:r>
        <w:rPr>
          <w:rFonts w:cs="Garamond" w:ascii="Garamond" w:hAnsi="Garamond"/>
          <w:iCs/>
          <w:sz w:val="24"/>
          <w:szCs w:val="24"/>
          <w:lang w:val="en-US"/>
        </w:rPr>
        <w:t>Nordstr</w:t>
      </w:r>
      <w:r>
        <w:rPr>
          <w:rFonts w:cs="Garamond" w:ascii="Garamond" w:hAnsi="Garamond"/>
          <w:iCs/>
          <w:sz w:val="24"/>
          <w:szCs w:val="24"/>
        </w:rPr>
        <w:t>ö</w:t>
      </w:r>
      <w:r>
        <w:rPr>
          <w:rFonts w:cs="Garamond" w:ascii="Garamond" w:hAnsi="Garamond"/>
          <w:iCs/>
          <w:sz w:val="24"/>
          <w:szCs w:val="24"/>
          <w:lang w:val="en-US"/>
        </w:rPr>
        <w:t>m</w:t>
      </w:r>
      <w:r>
        <w:rPr>
          <w:rFonts w:cs="Garamond" w:ascii="Garamond" w:hAnsi="Garamond"/>
          <w:sz w:val="24"/>
          <w:szCs w:val="24"/>
        </w:rPr>
        <w:t xml:space="preserve">, 2004]), социально-экономическим и политическим крахом Группы А и, в итоге, ее полным отмиранием во времена </w:t>
      </w:r>
      <w:r>
        <w:rPr>
          <w:rFonts w:cs="Garamond" w:ascii="Garamond" w:hAnsi="Garamond"/>
          <w:sz w:val="24"/>
          <w:szCs w:val="24"/>
          <w:lang w:val="en-US"/>
        </w:rPr>
        <w:t>I</w:t>
      </w:r>
      <w:r>
        <w:rPr>
          <w:rFonts w:cs="Garamond" w:ascii="Garamond" w:hAnsi="Garamond"/>
          <w:sz w:val="24"/>
          <w:szCs w:val="24"/>
        </w:rPr>
        <w:t>–</w:t>
      </w:r>
      <w:r>
        <w:rPr>
          <w:rFonts w:cs="Garamond" w:ascii="Garamond" w:hAnsi="Garamond"/>
          <w:sz w:val="24"/>
          <w:szCs w:val="24"/>
          <w:lang w:val="en-US"/>
        </w:rPr>
        <w:t>II </w:t>
      </w:r>
      <w:r>
        <w:rPr>
          <w:rFonts w:cs="Garamond" w:ascii="Garamond" w:hAnsi="Garamond"/>
          <w:sz w:val="24"/>
          <w:szCs w:val="24"/>
        </w:rPr>
        <w:t>династий</w:t>
      </w:r>
      <w:r>
        <w:rPr>
          <w:rStyle w:val="Style14"/>
          <w:rStyle w:val="Style19"/>
          <w:rFonts w:cs="Garamond" w:ascii="Garamond" w:hAnsi="Garamond"/>
          <w:sz w:val="24"/>
          <w:szCs w:val="24"/>
        </w:rPr>
        <w:footnoteReference w:id="15"/>
      </w:r>
      <w:r>
        <w:rPr>
          <w:rFonts w:cs="Garamond" w:ascii="Garamond" w:hAnsi="Garamond"/>
          <w:sz w:val="24"/>
          <w:szCs w:val="24"/>
        </w:rPr>
        <w:t>. «Были предприняты бесплодные исследования в поисках чего-то вроде климатических изменений, которые могли вызвать столь внезапный коллапс в тот самый момент, когда Группа А находилась на вершине своего развития» [</w:t>
      </w:r>
      <w:r>
        <w:rPr>
          <w:rFonts w:cs="Garamond" w:ascii="Garamond" w:hAnsi="Garamond"/>
          <w:sz w:val="24"/>
          <w:szCs w:val="24"/>
          <w:lang w:val="en-US"/>
        </w:rPr>
        <w:t>Midant</w:t>
      </w:r>
      <w:r>
        <w:rPr>
          <w:rFonts w:cs="Garamond" w:ascii="Garamond" w:hAnsi="Garamond"/>
          <w:sz w:val="24"/>
          <w:szCs w:val="24"/>
        </w:rPr>
        <w:t>-</w:t>
      </w:r>
      <w:r>
        <w:rPr>
          <w:rFonts w:cs="Garamond" w:ascii="Garamond" w:hAnsi="Garamond"/>
          <w:sz w:val="24"/>
          <w:szCs w:val="24"/>
          <w:lang w:val="en-US"/>
        </w:rPr>
        <w:t>Reynes</w:t>
      </w:r>
      <w:r>
        <w:rPr>
          <w:rFonts w:cs="Garamond" w:ascii="Garamond" w:hAnsi="Garamond"/>
          <w:sz w:val="24"/>
          <w:szCs w:val="24"/>
        </w:rPr>
        <w:t>, 2000]. Не найдя объяснений в природе, «единственной причиной» случившегося специалисты объявили Египет, изначально доминировавший в многогранных доисторических связях с Нубией, а при переходе к государству и перенаправлении используемых материальных ресурсов под контроль новоявленной династической власти решивший покончить с посредниками в торговле на южных путях, реорганизовав ее так, «чтобы в ней не было места коренному нижненубийскому населению» [</w:t>
      </w:r>
      <w:r>
        <w:rPr>
          <w:rFonts w:cs="Garamond" w:ascii="Garamond" w:hAnsi="Garamond"/>
          <w:sz w:val="24"/>
          <w:szCs w:val="24"/>
          <w:lang w:val="en-US"/>
        </w:rPr>
        <w:t>T</w:t>
      </w:r>
      <w:r>
        <w:rPr>
          <w:rFonts w:cs="Garamond" w:ascii="Garamond" w:hAnsi="Garamond"/>
          <w:sz w:val="24"/>
          <w:szCs w:val="24"/>
        </w:rPr>
        <w:t>ö</w:t>
      </w:r>
      <w:r>
        <w:rPr>
          <w:rFonts w:cs="Garamond" w:ascii="Garamond" w:hAnsi="Garamond"/>
          <w:sz w:val="24"/>
          <w:szCs w:val="24"/>
          <w:lang w:val="en-US"/>
        </w:rPr>
        <w:t>r</w:t>
      </w:r>
      <w:r>
        <w:rPr>
          <w:rFonts w:cs="Garamond" w:ascii="Garamond" w:hAnsi="Garamond"/>
          <w:sz w:val="24"/>
          <w:szCs w:val="24"/>
        </w:rPr>
        <w:t>ö</w:t>
      </w:r>
      <w:r>
        <w:rPr>
          <w:rFonts w:cs="Garamond" w:ascii="Garamond" w:hAnsi="Garamond"/>
          <w:sz w:val="24"/>
          <w:szCs w:val="24"/>
          <w:lang w:val="en-US"/>
        </w:rPr>
        <w:t>k</w:t>
      </w:r>
      <w:r>
        <w:rPr>
          <w:rFonts w:cs="Garamond" w:ascii="Garamond" w:hAnsi="Garamond"/>
          <w:sz w:val="24"/>
          <w:szCs w:val="24"/>
        </w:rPr>
        <w:t>, 2009]. Отныне за здешними товаропотоками, предположительно, надзирали египетские «царские войска»</w:t>
      </w:r>
      <w:r>
        <w:rPr>
          <w:rStyle w:val="Style14"/>
          <w:rStyle w:val="Style19"/>
          <w:rFonts w:cs="Garamond" w:ascii="Garamond" w:hAnsi="Garamond"/>
          <w:sz w:val="24"/>
          <w:szCs w:val="24"/>
        </w:rPr>
        <w:footnoteReference w:id="16"/>
      </w:r>
      <w:r>
        <w:rPr>
          <w:rFonts w:cs="Garamond" w:ascii="Garamond" w:hAnsi="Garamond"/>
          <w:sz w:val="24"/>
          <w:szCs w:val="24"/>
        </w:rPr>
        <w:t>, и именно тогда у «людей культуры Нагада» могло возникнуть упроченное особым тревожным топонимом представление о «Та-сети»</w:t>
      </w:r>
      <w:r>
        <w:rPr>
          <w:rFonts w:cs="Garamond" w:ascii="Garamond" w:hAnsi="Garamond"/>
          <w:sz w:val="24"/>
          <w:szCs w:val="24"/>
          <w:lang w:val="en-US"/>
        </w:rPr>
        <w:t> </w:t>
      </w:r>
      <w:r>
        <w:rPr>
          <w:rFonts w:cs="Garamond" w:ascii="Garamond" w:hAnsi="Garamond"/>
          <w:sz w:val="24"/>
          <w:szCs w:val="24"/>
        </w:rPr>
        <w:t>— «Земле (нубийского)</w:t>
      </w:r>
      <w:r>
        <w:rPr>
          <w:rStyle w:val="Style14"/>
          <w:rStyle w:val="Style19"/>
          <w:rFonts w:cs="Garamond" w:ascii="Garamond" w:hAnsi="Garamond"/>
          <w:sz w:val="24"/>
          <w:szCs w:val="24"/>
        </w:rPr>
        <w:footnoteReference w:id="17"/>
      </w:r>
      <w:r>
        <w:rPr>
          <w:rFonts w:cs="Garamond" w:ascii="Garamond" w:hAnsi="Garamond"/>
          <w:sz w:val="24"/>
          <w:szCs w:val="24"/>
        </w:rPr>
        <w:t xml:space="preserve"> лука» за катарактом, откуда происходила Группа А — как о стране враждебных и опасных иноплеменников [</w:t>
      </w:r>
      <w:r>
        <w:rPr>
          <w:rFonts w:cs="Garamond" w:ascii="Garamond" w:hAnsi="Garamond"/>
          <w:sz w:val="24"/>
          <w:szCs w:val="24"/>
          <w:lang w:val="en-US"/>
        </w:rPr>
        <w:t>Valbelle</w:t>
      </w:r>
      <w:r>
        <w:rPr>
          <w:rFonts w:cs="Garamond" w:ascii="Garamond" w:hAnsi="Garamond"/>
          <w:sz w:val="24"/>
          <w:szCs w:val="24"/>
        </w:rPr>
        <w:t>, 1990].</w:t>
      </w:r>
    </w:p>
    <w:p>
      <w:pPr>
        <w:pStyle w:val="Normal"/>
        <w:autoSpaceDE w:val="false"/>
        <w:ind w:end="-31" w:firstLine="720"/>
        <w:jc w:val="both"/>
        <w:rPr/>
      </w:pPr>
      <w:r>
        <w:rPr>
          <w:rFonts w:cs="Garamond" w:ascii="Garamond" w:hAnsi="Garamond"/>
          <w:sz w:val="24"/>
          <w:szCs w:val="24"/>
        </w:rPr>
        <w:t xml:space="preserve">Вероятно,  уже  при  </w:t>
      </w:r>
      <w:r>
        <w:rPr>
          <w:rFonts w:cs="Garamond" w:ascii="Garamond" w:hAnsi="Garamond"/>
          <w:sz w:val="24"/>
          <w:szCs w:val="24"/>
          <w:lang w:val="en-US"/>
        </w:rPr>
        <w:t>I</w:t>
      </w:r>
      <w:r>
        <w:rPr>
          <w:rFonts w:cs="Garamond" w:ascii="Garamond" w:hAnsi="Garamond"/>
          <w:sz w:val="24"/>
          <w:szCs w:val="24"/>
        </w:rPr>
        <w:t xml:space="preserve"> династии  на  возвышенности  «восточного  острова»</w:t>
      </w:r>
      <w:r>
        <w:rPr>
          <w:rStyle w:val="Style14"/>
          <w:rStyle w:val="Style19"/>
          <w:rFonts w:cs="Garamond" w:ascii="Garamond" w:hAnsi="Garamond"/>
          <w:sz w:val="24"/>
          <w:szCs w:val="24"/>
        </w:rPr>
        <w:footnoteReference w:id="18"/>
      </w:r>
      <w:r>
        <w:rPr>
          <w:rFonts w:cs="Garamond" w:ascii="Garamond" w:hAnsi="Garamond"/>
          <w:sz w:val="24"/>
          <w:szCs w:val="24"/>
        </w:rPr>
        <w:t xml:space="preserve"> Элефантины египтяне построили из сырцового кирпича крепость площадью около 50 × 50 м, с двойными, усиленными поперечными перемычками стенами как минимум трехметровой высоты, с угловыми и, возможно, промежуточными башенками, которая господствовала над «главным рукавом» Нила и противоположным низменным берегом, где сегодня лежит город Асуан [</w:t>
      </w:r>
      <w:r>
        <w:rPr>
          <w:rFonts w:cs="Garamond" w:ascii="Garamond" w:hAnsi="Garamond"/>
          <w:sz w:val="24"/>
          <w:szCs w:val="24"/>
          <w:lang w:val="en-US"/>
        </w:rPr>
        <w:t>Kaiser</w:t>
      </w:r>
      <w:r>
        <w:rPr>
          <w:rFonts w:cs="Garamond" w:ascii="Garamond" w:hAnsi="Garamond"/>
          <w:sz w:val="24"/>
          <w:szCs w:val="24"/>
        </w:rPr>
        <w:t xml:space="preserve"> </w:t>
      </w:r>
      <w:r>
        <w:rPr>
          <w:rFonts w:cs="Garamond" w:ascii="Garamond" w:hAnsi="Garamond"/>
          <w:sz w:val="24"/>
          <w:szCs w:val="24"/>
          <w:lang w:val="en-US"/>
        </w:rPr>
        <w:t>et</w:t>
      </w:r>
      <w:r>
        <w:rPr>
          <w:rFonts w:cs="Garamond" w:ascii="Garamond" w:hAnsi="Garamond"/>
          <w:sz w:val="24"/>
          <w:szCs w:val="24"/>
        </w:rPr>
        <w:t xml:space="preserve"> </w:t>
      </w:r>
      <w:r>
        <w:rPr>
          <w:rFonts w:cs="Garamond" w:ascii="Garamond" w:hAnsi="Garamond"/>
          <w:sz w:val="24"/>
          <w:szCs w:val="24"/>
          <w:lang w:val="en-US"/>
        </w:rPr>
        <w:t>al</w:t>
      </w:r>
      <w:r>
        <w:rPr>
          <w:rFonts w:cs="Garamond" w:ascii="Garamond" w:hAnsi="Garamond"/>
          <w:sz w:val="24"/>
          <w:szCs w:val="24"/>
        </w:rPr>
        <w:t xml:space="preserve">., 1993]. Закладка крепости, ознаменовавшая «решающий перелом в истории местного поселения», однако, поначалу вряд ли предусматривала непосредственно </w:t>
      </w:r>
      <w:r>
        <w:rPr>
          <w:rFonts w:cs="Garamond" w:ascii="Garamond" w:hAnsi="Garamond"/>
          <w:i/>
          <w:sz w:val="24"/>
          <w:szCs w:val="24"/>
        </w:rPr>
        <w:t>его</w:t>
      </w:r>
      <w:r>
        <w:rPr>
          <w:rFonts w:cs="Garamond" w:ascii="Garamond" w:hAnsi="Garamond"/>
          <w:sz w:val="24"/>
          <w:szCs w:val="24"/>
        </w:rPr>
        <w:t xml:space="preserve"> защиту, поскольку жилища оставались и за пределами фортификационного сооружения, чьи «архитекторы», очевидно, выбирали позицию повыгоднее, «мало заботясь о том, что было здесь раньше»; особенно «вопиюще» это проявилось в их небрежном отношении к старейшему на Элефантине, уходящему корнями в герзейский период святилищу «богини прохладной воды» Сатет, которое не только не попало внутрь возводившихся вплотную к нему крепостных стен, но в результате их строительства и последующих реконструкций лишилось прежнего удобного входа и значительной части внешнего двора [</w:t>
      </w:r>
      <w:r>
        <w:rPr>
          <w:rFonts w:cs="Garamond" w:ascii="Garamond" w:hAnsi="Garamond"/>
          <w:sz w:val="24"/>
          <w:szCs w:val="24"/>
          <w:lang w:val="en-US"/>
        </w:rPr>
        <w:t>Seidlmayer</w:t>
      </w:r>
      <w:r>
        <w:rPr>
          <w:rFonts w:cs="Garamond" w:ascii="Garamond" w:hAnsi="Garamond"/>
          <w:sz w:val="24"/>
          <w:szCs w:val="24"/>
        </w:rPr>
        <w:t>, 1996]. Этот, несомненно, очень поспешно воздвигнутый форт, чужеродный «автономной эволюции местной общины» и, не исключено, укомплектованный гарнизоном из Нижнего Египта [</w:t>
      </w:r>
      <w:r>
        <w:rPr>
          <w:rFonts w:cs="Garamond" w:ascii="Garamond" w:hAnsi="Garamond"/>
          <w:sz w:val="24"/>
          <w:szCs w:val="24"/>
          <w:lang w:val="en-US"/>
        </w:rPr>
        <w:t>Kaiser</w:t>
      </w:r>
      <w:r>
        <w:rPr>
          <w:rFonts w:cs="Garamond" w:ascii="Garamond" w:hAnsi="Garamond"/>
          <w:sz w:val="24"/>
          <w:szCs w:val="24"/>
        </w:rPr>
        <w:t xml:space="preserve"> </w:t>
      </w:r>
      <w:r>
        <w:rPr>
          <w:rFonts w:cs="Garamond" w:ascii="Garamond" w:hAnsi="Garamond"/>
          <w:sz w:val="24"/>
          <w:szCs w:val="24"/>
          <w:lang w:val="en-US"/>
        </w:rPr>
        <w:t>et</w:t>
      </w:r>
      <w:r>
        <w:rPr>
          <w:rFonts w:cs="Garamond" w:ascii="Garamond" w:hAnsi="Garamond"/>
          <w:sz w:val="24"/>
          <w:szCs w:val="24"/>
        </w:rPr>
        <w:t xml:space="preserve"> </w:t>
      </w:r>
      <w:r>
        <w:rPr>
          <w:rFonts w:cs="Garamond" w:ascii="Garamond" w:hAnsi="Garamond"/>
          <w:sz w:val="24"/>
          <w:szCs w:val="24"/>
          <w:lang w:val="en-US"/>
        </w:rPr>
        <w:t>al</w:t>
      </w:r>
      <w:r>
        <w:rPr>
          <w:rFonts w:cs="Garamond" w:ascii="Garamond" w:hAnsi="Garamond"/>
          <w:sz w:val="24"/>
          <w:szCs w:val="24"/>
        </w:rPr>
        <w:t xml:space="preserve">., </w:t>
      </w:r>
      <w:r>
        <w:rPr>
          <w:rFonts w:cs="Garamond" w:ascii="Garamond" w:hAnsi="Garamond"/>
          <w:iCs/>
          <w:sz w:val="24"/>
          <w:szCs w:val="24"/>
        </w:rPr>
        <w:t>1988</w:t>
      </w:r>
      <w:r>
        <w:rPr>
          <w:rFonts w:cs="Garamond" w:ascii="Garamond" w:hAnsi="Garamond"/>
          <w:sz w:val="24"/>
          <w:szCs w:val="24"/>
        </w:rPr>
        <w:t>], «мог служить трамплином для набегов в Нубию, таких как карательная кампания, задокументированная на ярлыке Аха»</w:t>
      </w:r>
      <w:r>
        <w:rPr>
          <w:rStyle w:val="Style14"/>
          <w:rStyle w:val="Style19"/>
          <w:rFonts w:cs="Garamond" w:ascii="Garamond" w:hAnsi="Garamond"/>
          <w:sz w:val="24"/>
          <w:szCs w:val="24"/>
        </w:rPr>
        <w:footnoteReference w:id="19"/>
      </w:r>
      <w:r>
        <w:rPr>
          <w:rFonts w:cs="Garamond" w:ascii="Garamond" w:hAnsi="Garamond"/>
          <w:sz w:val="24"/>
          <w:szCs w:val="24"/>
        </w:rPr>
        <w:t xml:space="preserve"> [</w:t>
      </w:r>
      <w:r>
        <w:rPr>
          <w:rFonts w:cs="Garamond" w:ascii="Garamond" w:hAnsi="Garamond"/>
          <w:sz w:val="24"/>
          <w:szCs w:val="24"/>
          <w:lang w:val="en-US"/>
        </w:rPr>
        <w:t>Wilkinson</w:t>
      </w:r>
      <w:r>
        <w:rPr>
          <w:rFonts w:cs="Garamond" w:ascii="Garamond" w:hAnsi="Garamond"/>
          <w:sz w:val="24"/>
          <w:szCs w:val="24"/>
        </w:rPr>
        <w:t>, 1999].</w:t>
      </w:r>
    </w:p>
    <w:p>
      <w:pPr>
        <w:pStyle w:val="Normal"/>
        <w:autoSpaceDE w:val="false"/>
        <w:ind w:end="-31" w:hanging="0"/>
        <w:jc w:val="center"/>
        <w:rPr>
          <w:rFonts w:ascii="Garamond" w:hAnsi="Garamond" w:cs="Garamond"/>
          <w:sz w:val="16"/>
          <w:szCs w:val="16"/>
        </w:rPr>
      </w:pPr>
      <w:r>
        <w:rPr>
          <w:rFonts w:cs="Garamond" w:ascii="Garamond" w:hAnsi="Garamond"/>
          <w:sz w:val="16"/>
          <w:szCs w:val="16"/>
        </w:rPr>
      </w:r>
    </w:p>
    <w:p>
      <w:pPr>
        <w:pStyle w:val="Normal"/>
        <w:autoSpaceDE w:val="false"/>
        <w:ind w:end="-31" w:hanging="0"/>
        <w:jc w:val="center"/>
        <w:rPr>
          <w:rFonts w:ascii="Garamond" w:hAnsi="Garamond" w:cs="Garamond"/>
          <w:sz w:val="22"/>
          <w:szCs w:val="22"/>
        </w:rPr>
      </w:pPr>
      <w:r>
        <w:rPr>
          <w:rFonts w:cs="Garamond" w:ascii="Garamond" w:hAnsi="Garamond"/>
          <w:sz w:val="22"/>
          <w:szCs w:val="22"/>
        </w:rPr>
        <w:drawing>
          <wp:inline distT="0" distB="0" distL="0" distR="0">
            <wp:extent cx="5491480" cy="1685290"/>
            <wp:effectExtent l="0" t="0" r="0" b="0"/>
            <wp:docPr id="2"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title=""/>
                    <pic:cNvPicPr>
                      <a:picLocks noChangeAspect="1" noChangeArrowheads="1"/>
                    </pic:cNvPicPr>
                  </pic:nvPicPr>
                  <pic:blipFill>
                    <a:blip r:embed="rId3"/>
                    <a:srcRect l="0" t="-3" r="0" b="-3"/>
                    <a:stretch>
                      <a:fillRect/>
                    </a:stretch>
                  </pic:blipFill>
                  <pic:spPr bwMode="auto">
                    <a:xfrm>
                      <a:off x="0" y="0"/>
                      <a:ext cx="5491480" cy="1685290"/>
                    </a:xfrm>
                    <a:prstGeom prst="rect">
                      <a:avLst/>
                    </a:prstGeom>
                  </pic:spPr>
                </pic:pic>
              </a:graphicData>
            </a:graphic>
          </wp:inline>
        </w:drawing>
      </w:r>
    </w:p>
    <w:p>
      <w:pPr>
        <w:pStyle w:val="Normal"/>
        <w:autoSpaceDE w:val="false"/>
        <w:ind w:end="-31" w:hanging="0"/>
        <w:jc w:val="center"/>
        <w:rPr/>
      </w:pPr>
      <w:r>
        <w:rPr>
          <w:rFonts w:cs="Garamond" w:ascii="Garamond" w:hAnsi="Garamond"/>
          <w:i/>
          <w:sz w:val="22"/>
          <w:szCs w:val="22"/>
        </w:rPr>
        <w:t>Илл. 1.</w:t>
      </w:r>
      <w:r>
        <w:rPr>
          <w:rFonts w:cs="Garamond" w:ascii="Garamond" w:hAnsi="Garamond"/>
          <w:sz w:val="22"/>
          <w:szCs w:val="22"/>
        </w:rPr>
        <w:t xml:space="preserve"> Петроглифы Гебель Шейх Сулейман, Нижняя Нубия (по: [</w:t>
      </w:r>
      <w:r>
        <w:rPr>
          <w:rFonts w:cs="Garamond" w:ascii="Garamond" w:hAnsi="Garamond"/>
          <w:sz w:val="22"/>
          <w:szCs w:val="22"/>
          <w:lang w:val="en-US"/>
        </w:rPr>
        <w:t>Arkell</w:t>
      </w:r>
      <w:r>
        <w:rPr>
          <w:rFonts w:cs="Garamond" w:ascii="Garamond" w:hAnsi="Garamond"/>
          <w:sz w:val="22"/>
          <w:szCs w:val="22"/>
        </w:rPr>
        <w:t xml:space="preserve">, 1975, </w:t>
      </w:r>
      <w:r>
        <w:rPr>
          <w:rFonts w:cs="Garamond" w:ascii="Garamond" w:hAnsi="Garamond"/>
          <w:sz w:val="22"/>
          <w:szCs w:val="22"/>
          <w:lang w:val="en-US"/>
        </w:rPr>
        <w:t>fig</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24])</w:t>
      </w:r>
    </w:p>
    <w:p>
      <w:pPr>
        <w:pStyle w:val="Normal"/>
        <w:autoSpaceDE w:val="false"/>
        <w:ind w:end="-31" w:hanging="0"/>
        <w:jc w:val="center"/>
        <w:rPr>
          <w:rFonts w:ascii="Garamond" w:hAnsi="Garamond" w:cs="Garamond"/>
          <w:sz w:val="16"/>
          <w:szCs w:val="16"/>
        </w:rPr>
      </w:pPr>
      <w:r>
        <w:rPr>
          <w:rFonts w:cs="Garamond" w:ascii="Garamond" w:hAnsi="Garamond"/>
          <w:sz w:val="16"/>
          <w:szCs w:val="16"/>
        </w:rPr>
      </w:r>
    </w:p>
    <w:p>
      <w:pPr>
        <w:pStyle w:val="Normal"/>
        <w:autoSpaceDE w:val="false"/>
        <w:ind w:end="-31" w:firstLine="720"/>
        <w:jc w:val="both"/>
        <w:rPr/>
      </w:pPr>
      <w:r>
        <w:rPr>
          <w:rFonts w:cs="Garamond" w:ascii="Garamond" w:hAnsi="Garamond"/>
          <w:sz w:val="24"/>
          <w:szCs w:val="24"/>
        </w:rPr>
        <w:t>С другой стороны, вышеупомянутое падение на закате Группы А численности населения примыкавшего к Египту северного отрезка Нубии едва ли предполагало острую необходимость создания нацеленного на данный регион верхнеегипетского «укрепрайона»-плацдарма, если только, например, не увязывать оба явления с «аналогичными» опустошительными нижненубийскими кампаниями предшественников Хора Аха</w:t>
      </w:r>
      <w:r>
        <w:rPr>
          <w:rFonts w:cs="Garamond" w:ascii="Garamond" w:hAnsi="Garamond"/>
          <w:sz w:val="24"/>
          <w:szCs w:val="24"/>
          <w:lang w:val="en-US"/>
        </w:rPr>
        <w:t> </w:t>
      </w:r>
      <w:r>
        <w:rPr>
          <w:rFonts w:cs="Garamond" w:ascii="Garamond" w:hAnsi="Garamond"/>
          <w:sz w:val="24"/>
          <w:szCs w:val="24"/>
        </w:rPr>
        <w:t>— царей «позднего додинастического периода</w:t>
      </w:r>
      <w:r>
        <w:rPr>
          <w:rFonts w:cs="Garamond" w:ascii="Garamond" w:hAnsi="Garamond"/>
          <w:sz w:val="24"/>
          <w:szCs w:val="24"/>
          <w:lang w:val="en-US"/>
        </w:rPr>
        <w:t> </w:t>
      </w:r>
      <w:r>
        <w:rPr>
          <w:rFonts w:cs="Garamond" w:ascii="Garamond" w:hAnsi="Garamond"/>
          <w:sz w:val="24"/>
          <w:szCs w:val="24"/>
        </w:rPr>
        <w:t>/ “0-й династии”». О такого рода древнейших «рейдах», как о непреложных фактах, писали Т. Уилкинсон и другие египтологи, приводя в доказательство петроглифы песчаниковой скалы Гебель Шейх Сулейман на западном берегу Нила близ Вади Хальфа (</w:t>
      </w:r>
      <w:r>
        <w:rPr>
          <w:rFonts w:cs="Garamond" w:ascii="Garamond" w:hAnsi="Garamond"/>
          <w:i/>
          <w:sz w:val="24"/>
          <w:szCs w:val="24"/>
        </w:rPr>
        <w:t>илл. 1</w:t>
      </w:r>
      <w:r>
        <w:rPr>
          <w:rFonts w:cs="Garamond" w:ascii="Garamond" w:hAnsi="Garamond"/>
          <w:sz w:val="24"/>
          <w:szCs w:val="24"/>
        </w:rPr>
        <w:t>), якобы свидетельствующие о попытках покорения страны Та-сети египтянами в протодинастические, а то и более незапамятные времена [M</w:t>
      </w:r>
      <w:r>
        <w:rPr>
          <w:rFonts w:cs="Garamond" w:ascii="Garamond" w:hAnsi="Garamond"/>
          <w:sz w:val="24"/>
          <w:szCs w:val="24"/>
          <w:lang w:val="en-US"/>
        </w:rPr>
        <w:t>urnane</w:t>
      </w:r>
      <w:r>
        <w:rPr>
          <w:rFonts w:cs="Garamond" w:ascii="Garamond" w:hAnsi="Garamond"/>
          <w:sz w:val="24"/>
          <w:szCs w:val="24"/>
        </w:rPr>
        <w:t xml:space="preserve">, 1987; </w:t>
      </w:r>
      <w:r>
        <w:rPr>
          <w:rFonts w:cs="Garamond" w:ascii="Garamond" w:hAnsi="Garamond"/>
          <w:sz w:val="24"/>
          <w:szCs w:val="24"/>
          <w:lang w:val="en-US"/>
        </w:rPr>
        <w:t>Wilkinson</w:t>
      </w:r>
      <w:r>
        <w:rPr>
          <w:rFonts w:cs="Garamond" w:ascii="Garamond" w:hAnsi="Garamond"/>
          <w:sz w:val="24"/>
          <w:szCs w:val="24"/>
        </w:rPr>
        <w:t>, 1999]. Между тем эти «широко известные, но на удивление мало изученные» рисунки</w:t>
      </w:r>
      <w:r>
        <w:rPr>
          <w:rStyle w:val="Style14"/>
          <w:rStyle w:val="Style19"/>
          <w:rFonts w:cs="Garamond" w:ascii="Garamond" w:hAnsi="Garamond"/>
          <w:sz w:val="24"/>
          <w:szCs w:val="24"/>
        </w:rPr>
        <w:footnoteReference w:id="20"/>
      </w:r>
      <w:r>
        <w:rPr>
          <w:rFonts w:cs="Garamond" w:ascii="Garamond" w:hAnsi="Garamond"/>
          <w:sz w:val="24"/>
          <w:szCs w:val="24"/>
        </w:rPr>
        <w:t xml:space="preserve"> ряд исследователей приписывал преемнику основателя </w:t>
      </w:r>
      <w:r>
        <w:rPr>
          <w:rFonts w:cs="Garamond" w:ascii="Garamond" w:hAnsi="Garamond"/>
          <w:sz w:val="24"/>
          <w:szCs w:val="24"/>
          <w:lang w:val="en-US"/>
        </w:rPr>
        <w:t>I</w:t>
      </w:r>
      <w:r>
        <w:rPr>
          <w:rFonts w:cs="Garamond" w:ascii="Garamond" w:hAnsi="Garamond"/>
          <w:sz w:val="24"/>
          <w:szCs w:val="24"/>
        </w:rPr>
        <w:t> династии Аха Хору Джеру [A</w:t>
      </w:r>
      <w:r>
        <w:rPr>
          <w:rFonts w:cs="Garamond" w:ascii="Garamond" w:hAnsi="Garamond"/>
          <w:sz w:val="24"/>
          <w:szCs w:val="24"/>
          <w:lang w:val="en-US"/>
        </w:rPr>
        <w:t>rkell</w:t>
      </w:r>
      <w:r>
        <w:rPr>
          <w:rFonts w:cs="Garamond" w:ascii="Garamond" w:hAnsi="Garamond"/>
          <w:sz w:val="24"/>
          <w:szCs w:val="24"/>
        </w:rPr>
        <w:t>, 1950;  Needler, 1967;  Somaglino, Tallet, 2014;  2015]</w:t>
      </w:r>
      <w:r>
        <w:rPr>
          <w:rStyle w:val="Style14"/>
          <w:rStyle w:val="Style19"/>
          <w:rFonts w:cs="Garamond" w:ascii="Garamond" w:hAnsi="Garamond"/>
          <w:sz w:val="24"/>
          <w:szCs w:val="24"/>
        </w:rPr>
        <w:footnoteReference w:id="21"/>
      </w:r>
      <w:r>
        <w:rPr>
          <w:rFonts w:cs="Garamond" w:ascii="Garamond" w:hAnsi="Garamond"/>
          <w:sz w:val="24"/>
          <w:szCs w:val="24"/>
        </w:rPr>
        <w:t>; по оригинальной версии Б. Уильямса, запечатленные в рассмотренных петроглифах ратные события, увенчавшиеся разгромом, избиением и пленением некоего противника, хотя и произошли в период Нагада </w:t>
      </w:r>
      <w:r>
        <w:rPr>
          <w:rFonts w:cs="Garamond" w:ascii="Garamond" w:hAnsi="Garamond"/>
          <w:sz w:val="24"/>
          <w:szCs w:val="24"/>
          <w:lang w:val="en-US"/>
        </w:rPr>
        <w:t>III</w:t>
      </w:r>
      <w:r>
        <w:rPr>
          <w:rFonts w:cs="Garamond" w:ascii="Garamond" w:hAnsi="Garamond"/>
          <w:sz w:val="24"/>
          <w:szCs w:val="24"/>
        </w:rPr>
        <w:t> (</w:t>
      </w:r>
      <w:r>
        <w:rPr>
          <w:rFonts w:cs="Garamond" w:ascii="Garamond" w:hAnsi="Garamond"/>
          <w:sz w:val="24"/>
          <w:szCs w:val="24"/>
          <w:lang w:val="en-US"/>
        </w:rPr>
        <w:t>a</w:t>
      </w:r>
      <w:r>
        <w:rPr>
          <w:rFonts w:cs="Garamond" w:ascii="Garamond" w:hAnsi="Garamond"/>
          <w:sz w:val="24"/>
          <w:szCs w:val="24"/>
        </w:rPr>
        <w:t>–</w:t>
      </w:r>
      <w:r>
        <w:rPr>
          <w:rFonts w:cs="Garamond" w:ascii="Garamond" w:hAnsi="Garamond"/>
          <w:sz w:val="24"/>
          <w:szCs w:val="24"/>
          <w:lang w:val="en-US"/>
        </w:rPr>
        <w:t>b</w:t>
      </w:r>
      <w:r>
        <w:rPr>
          <w:rFonts w:cs="Garamond" w:ascii="Garamond" w:hAnsi="Garamond"/>
          <w:sz w:val="24"/>
          <w:szCs w:val="24"/>
        </w:rPr>
        <w:t>), но относились не к 0-й династии верхнеегипетских царей, а к правившей «несколькими поколениями» до нее «Кустульской династии Группы А» [</w:t>
      </w:r>
      <w:r>
        <w:rPr>
          <w:rFonts w:cs="Garamond" w:ascii="Garamond" w:hAnsi="Garamond"/>
          <w:sz w:val="24"/>
          <w:szCs w:val="24"/>
          <w:lang w:val="en-US"/>
        </w:rPr>
        <w:t>Williams</w:t>
      </w:r>
      <w:r>
        <w:rPr>
          <w:rFonts w:cs="Garamond" w:ascii="Garamond" w:hAnsi="Garamond"/>
          <w:sz w:val="24"/>
          <w:szCs w:val="24"/>
        </w:rPr>
        <w:t>, 1980; 1987], которая увековечила таким образом свою воинскую победу, одержанную «где-то на юге, вероятнее всего в ареале культуры пред-Кермы» (3500–2500 гг.  до</w:t>
      </w:r>
      <w:r>
        <w:rPr>
          <w:rFonts w:cs="Garamond" w:ascii="Garamond" w:hAnsi="Garamond"/>
          <w:sz w:val="24"/>
          <w:szCs w:val="24"/>
          <w:lang w:val="en-US"/>
        </w:rPr>
        <w:t xml:space="preserve"> </w:t>
      </w:r>
      <w:r>
        <w:rPr>
          <w:rFonts w:cs="Garamond" w:ascii="Garamond" w:hAnsi="Garamond"/>
          <w:sz w:val="24"/>
          <w:szCs w:val="24"/>
        </w:rPr>
        <w:t xml:space="preserve"> н. э.  [</w:t>
      </w:r>
      <w:r>
        <w:rPr>
          <w:rFonts w:cs="Garamond" w:ascii="Garamond" w:hAnsi="Garamond"/>
          <w:sz w:val="24"/>
          <w:szCs w:val="24"/>
          <w:lang w:val="en-US"/>
        </w:rPr>
        <w:t>Bonnet</w:t>
      </w:r>
      <w:r>
        <w:rPr>
          <w:rFonts w:cs="Garamond" w:ascii="Garamond" w:hAnsi="Garamond"/>
          <w:sz w:val="24"/>
          <w:szCs w:val="24"/>
        </w:rPr>
        <w:t>, 1992])</w:t>
      </w:r>
      <w:r>
        <w:rPr>
          <w:rStyle w:val="Style14"/>
          <w:rStyle w:val="Style19"/>
          <w:rFonts w:cs="Garamond" w:ascii="Garamond" w:hAnsi="Garamond"/>
          <w:sz w:val="24"/>
          <w:szCs w:val="24"/>
        </w:rPr>
        <w:footnoteReference w:id="22"/>
      </w:r>
      <w:r>
        <w:rPr>
          <w:rFonts w:cs="Garamond" w:ascii="Garamond" w:hAnsi="Garamond"/>
          <w:sz w:val="24"/>
          <w:szCs w:val="24"/>
        </w:rPr>
        <w:t>,  т.</w:t>
      </w:r>
      <w:r>
        <w:rPr>
          <w:rFonts w:cs="Garamond" w:ascii="Garamond" w:hAnsi="Garamond"/>
          <w:sz w:val="24"/>
          <w:szCs w:val="24"/>
          <w:lang w:val="en-US"/>
        </w:rPr>
        <w:t> </w:t>
      </w:r>
      <w:r>
        <w:rPr>
          <w:rFonts w:cs="Garamond" w:ascii="Garamond" w:hAnsi="Garamond"/>
          <w:sz w:val="24"/>
          <w:szCs w:val="24"/>
        </w:rPr>
        <w:t>е.  в</w:t>
      </w:r>
      <w:r>
        <w:rPr>
          <w:rFonts w:cs="Garamond" w:ascii="Garamond" w:hAnsi="Garamond"/>
          <w:sz w:val="24"/>
          <w:szCs w:val="24"/>
          <w:lang w:val="en-US"/>
        </w:rPr>
        <w:t xml:space="preserve"> </w:t>
      </w:r>
      <w:r>
        <w:rPr>
          <w:rFonts w:cs="Garamond" w:ascii="Garamond" w:hAnsi="Garamond"/>
          <w:sz w:val="24"/>
          <w:szCs w:val="24"/>
        </w:rPr>
        <w:t xml:space="preserve"> Верхней Нубии у 3-го</w:t>
      </w:r>
      <w:r>
        <w:rPr>
          <w:rFonts w:cs="Garamond" w:ascii="Garamond" w:hAnsi="Garamond"/>
          <w:sz w:val="24"/>
          <w:szCs w:val="24"/>
          <w:lang w:val="en-US"/>
        </w:rPr>
        <w:t> </w:t>
      </w:r>
      <w:r>
        <w:rPr>
          <w:rFonts w:cs="Garamond" w:ascii="Garamond" w:hAnsi="Garamond"/>
          <w:sz w:val="24"/>
          <w:szCs w:val="24"/>
        </w:rPr>
        <w:t>нильского порога [</w:t>
      </w:r>
      <w:r>
        <w:rPr>
          <w:rFonts w:cs="Garamond" w:ascii="Garamond" w:hAnsi="Garamond"/>
          <w:sz w:val="24"/>
          <w:szCs w:val="24"/>
          <w:lang w:val="en-US"/>
        </w:rPr>
        <w:t>Bonnet</w:t>
      </w:r>
      <w:r>
        <w:rPr>
          <w:rFonts w:cs="Garamond" w:ascii="Garamond" w:hAnsi="Garamond"/>
          <w:sz w:val="24"/>
          <w:szCs w:val="24"/>
        </w:rPr>
        <w:t xml:space="preserve">, 1997; </w:t>
      </w:r>
      <w:r>
        <w:rPr>
          <w:rFonts w:cs="Garamond" w:ascii="Garamond" w:hAnsi="Garamond"/>
          <w:sz w:val="24"/>
          <w:szCs w:val="24"/>
          <w:lang w:val="en-US"/>
        </w:rPr>
        <w:t>Honegger</w:t>
      </w:r>
      <w:r>
        <w:rPr>
          <w:rFonts w:cs="Garamond" w:ascii="Garamond" w:hAnsi="Garamond"/>
          <w:sz w:val="24"/>
          <w:szCs w:val="24"/>
        </w:rPr>
        <w:t>, 2004]. Кстати, подобно нубийскому приграничью 1-го</w:t>
      </w:r>
      <w:r>
        <w:rPr>
          <w:rFonts w:cs="Garamond" w:ascii="Garamond" w:hAnsi="Garamond"/>
          <w:sz w:val="24"/>
          <w:szCs w:val="24"/>
          <w:lang w:val="en-US"/>
        </w:rPr>
        <w:t> </w:t>
      </w:r>
      <w:r>
        <w:rPr>
          <w:rFonts w:cs="Garamond" w:ascii="Garamond" w:hAnsi="Garamond"/>
          <w:sz w:val="24"/>
          <w:szCs w:val="24"/>
        </w:rPr>
        <w:t xml:space="preserve">порога на исторический момент возникновения египетского протогосударства и упадка Группы А, окрестности Кермы ранее, в первой половине </w:t>
      </w:r>
      <w:r>
        <w:rPr>
          <w:rFonts w:cs="Garamond" w:ascii="Garamond" w:hAnsi="Garamond"/>
          <w:sz w:val="24"/>
          <w:szCs w:val="24"/>
          <w:lang w:val="en-US"/>
        </w:rPr>
        <w:t>IV </w:t>
      </w:r>
      <w:r>
        <w:rPr>
          <w:rFonts w:cs="Garamond" w:ascii="Garamond" w:hAnsi="Garamond"/>
          <w:sz w:val="24"/>
          <w:szCs w:val="24"/>
        </w:rPr>
        <w:t>тыс. до н. э., также на время почти обезлюдели [</w:t>
      </w:r>
      <w:r>
        <w:rPr>
          <w:rFonts w:cs="Garamond" w:ascii="Garamond" w:hAnsi="Garamond"/>
          <w:sz w:val="24"/>
          <w:szCs w:val="24"/>
          <w:lang w:val="en-US"/>
        </w:rPr>
        <w:t>Honegger</w:t>
      </w:r>
      <w:r>
        <w:rPr>
          <w:rFonts w:cs="Garamond" w:ascii="Garamond" w:hAnsi="Garamond"/>
          <w:sz w:val="24"/>
          <w:szCs w:val="24"/>
        </w:rPr>
        <w:t xml:space="preserve">, </w:t>
      </w:r>
      <w:r>
        <w:rPr>
          <w:rFonts w:cs="Garamond" w:ascii="Garamond" w:hAnsi="Garamond"/>
          <w:sz w:val="24"/>
          <w:szCs w:val="24"/>
          <w:lang w:val="en-US"/>
        </w:rPr>
        <w:t>Williams</w:t>
      </w:r>
      <w:r>
        <w:rPr>
          <w:rFonts w:cs="Garamond" w:ascii="Garamond" w:hAnsi="Garamond"/>
          <w:sz w:val="24"/>
          <w:szCs w:val="24"/>
        </w:rPr>
        <w:t>, 2015], и весьма любопытно, что палеогеографы сопоставляли данный археологический эпизод не только с развивавшейся по завершении атлантического оптимума аридизацией Сахары, но и с регрессией танзанийско-кенийского кратерного озера Чала неподалеку от вулкана Килиманджаро, в пределах Восточно-Африканской рифтовой долины, заключающей в себе «великие озера» верховий Белого Нила [</w:t>
      </w:r>
      <w:r>
        <w:rPr>
          <w:rFonts w:cs="Garamond" w:ascii="Garamond" w:hAnsi="Garamond"/>
          <w:sz w:val="24"/>
          <w:szCs w:val="24"/>
          <w:lang w:val="en-US"/>
        </w:rPr>
        <w:t>Verschuren</w:t>
      </w:r>
      <w:r>
        <w:rPr>
          <w:rFonts w:cs="Garamond" w:ascii="Garamond" w:hAnsi="Garamond"/>
          <w:sz w:val="24"/>
          <w:szCs w:val="24"/>
        </w:rPr>
        <w:t xml:space="preserve"> </w:t>
      </w:r>
      <w:r>
        <w:rPr>
          <w:rFonts w:cs="Garamond" w:ascii="Garamond" w:hAnsi="Garamond"/>
          <w:sz w:val="24"/>
          <w:szCs w:val="24"/>
          <w:lang w:val="en-US"/>
        </w:rPr>
        <w:t>et</w:t>
      </w:r>
      <w:r>
        <w:rPr>
          <w:rFonts w:cs="Garamond" w:ascii="Garamond" w:hAnsi="Garamond"/>
          <w:sz w:val="24"/>
          <w:szCs w:val="24"/>
        </w:rPr>
        <w:t xml:space="preserve"> </w:t>
      </w:r>
      <w:r>
        <w:rPr>
          <w:rFonts w:cs="Garamond" w:ascii="Garamond" w:hAnsi="Garamond"/>
          <w:sz w:val="24"/>
          <w:szCs w:val="24"/>
          <w:lang w:val="en-US"/>
        </w:rPr>
        <w:t>al</w:t>
      </w:r>
      <w:r>
        <w:rPr>
          <w:rFonts w:cs="Garamond" w:ascii="Garamond" w:hAnsi="Garamond"/>
          <w:sz w:val="24"/>
          <w:szCs w:val="24"/>
        </w:rPr>
        <w:t xml:space="preserve">., 2009; </w:t>
      </w:r>
      <w:r>
        <w:rPr>
          <w:rFonts w:cs="Garamond" w:ascii="Garamond" w:hAnsi="Garamond"/>
          <w:sz w:val="24"/>
          <w:szCs w:val="24"/>
          <w:lang w:val="en-US"/>
        </w:rPr>
        <w:t>Williams</w:t>
      </w:r>
      <w:r>
        <w:rPr>
          <w:rFonts w:cs="Garamond" w:ascii="Garamond" w:hAnsi="Garamond"/>
          <w:sz w:val="24"/>
          <w:szCs w:val="24"/>
        </w:rPr>
        <w:t xml:space="preserve">, 2019]. Если эта регрессия, наряду с понижением уровней озера Альберт </w:t>
      </w:r>
      <w:r>
        <w:rPr>
          <w:rFonts w:cs="Garamond" w:ascii="Garamond" w:hAnsi="Garamond"/>
          <w:spacing w:val="-3"/>
          <w:sz w:val="24"/>
          <w:szCs w:val="24"/>
        </w:rPr>
        <w:t xml:space="preserve">между </w:t>
      </w:r>
      <w:r>
        <w:rPr>
          <w:rFonts w:cs="Garamond" w:ascii="Garamond" w:hAnsi="Garamond"/>
          <w:sz w:val="24"/>
          <w:szCs w:val="24"/>
        </w:rPr>
        <w:t>5500 и 4200 некалибр. л. н. [</w:t>
      </w:r>
      <w:r>
        <w:rPr>
          <w:rFonts w:cs="Garamond" w:ascii="Garamond" w:hAnsi="Garamond"/>
          <w:sz w:val="24"/>
          <w:szCs w:val="24"/>
          <w:lang w:val="en-US"/>
        </w:rPr>
        <w:t>Williams</w:t>
      </w:r>
      <w:r>
        <w:rPr>
          <w:rFonts w:cs="Garamond" w:ascii="Garamond" w:hAnsi="Garamond"/>
          <w:sz w:val="24"/>
          <w:szCs w:val="24"/>
        </w:rPr>
        <w:t xml:space="preserve"> </w:t>
      </w:r>
      <w:r>
        <w:rPr>
          <w:rFonts w:cs="Garamond" w:ascii="Garamond" w:hAnsi="Garamond"/>
          <w:sz w:val="24"/>
          <w:szCs w:val="24"/>
          <w:lang w:val="en-US"/>
        </w:rPr>
        <w:t>et</w:t>
      </w:r>
      <w:r>
        <w:rPr>
          <w:rFonts w:cs="Garamond" w:ascii="Garamond" w:hAnsi="Garamond"/>
          <w:sz w:val="24"/>
          <w:szCs w:val="24"/>
        </w:rPr>
        <w:t xml:space="preserve"> </w:t>
      </w:r>
      <w:r>
        <w:rPr>
          <w:rFonts w:cs="Garamond" w:ascii="Garamond" w:hAnsi="Garamond"/>
          <w:sz w:val="24"/>
          <w:szCs w:val="24"/>
          <w:lang w:val="en-US"/>
        </w:rPr>
        <w:t>al</w:t>
      </w:r>
      <w:r>
        <w:rPr>
          <w:rFonts w:cs="Garamond" w:ascii="Garamond" w:hAnsi="Garamond"/>
          <w:sz w:val="24"/>
          <w:szCs w:val="24"/>
        </w:rPr>
        <w:t>., 2006] и озер Эфиопского нагорья 6000–4000 некалибр. л. н. [</w:t>
      </w:r>
      <w:r>
        <w:rPr>
          <w:rFonts w:cs="Garamond" w:ascii="Garamond" w:hAnsi="Garamond"/>
          <w:sz w:val="24"/>
          <w:szCs w:val="24"/>
          <w:lang w:val="en-US"/>
        </w:rPr>
        <w:t>Gasse</w:t>
      </w:r>
      <w:r>
        <w:rPr>
          <w:rFonts w:cs="Garamond" w:ascii="Garamond" w:hAnsi="Garamond"/>
          <w:sz w:val="24"/>
          <w:szCs w:val="24"/>
        </w:rPr>
        <w:t xml:space="preserve">, </w:t>
      </w:r>
      <w:r>
        <w:rPr>
          <w:rFonts w:cs="Garamond" w:ascii="Garamond" w:hAnsi="Garamond"/>
          <w:sz w:val="24"/>
          <w:szCs w:val="24"/>
          <w:lang w:val="en-US"/>
        </w:rPr>
        <w:t>Street</w:t>
      </w:r>
      <w:r>
        <w:rPr>
          <w:rFonts w:cs="Garamond" w:ascii="Garamond" w:hAnsi="Garamond"/>
          <w:sz w:val="24"/>
          <w:szCs w:val="24"/>
        </w:rPr>
        <w:t xml:space="preserve">, 1978; </w:t>
      </w:r>
      <w:r>
        <w:rPr>
          <w:rFonts w:cs="Garamond" w:ascii="Garamond" w:hAnsi="Garamond"/>
          <w:sz w:val="24"/>
          <w:szCs w:val="24"/>
          <w:lang w:val="en-US"/>
        </w:rPr>
        <w:t>Grove</w:t>
      </w:r>
      <w:r>
        <w:rPr>
          <w:rFonts w:cs="Garamond" w:ascii="Garamond" w:hAnsi="Garamond"/>
          <w:sz w:val="24"/>
          <w:szCs w:val="24"/>
        </w:rPr>
        <w:t xml:space="preserve">, </w:t>
      </w:r>
      <w:r>
        <w:rPr>
          <w:rFonts w:cs="Garamond" w:ascii="Garamond" w:hAnsi="Garamond"/>
          <w:sz w:val="24"/>
          <w:szCs w:val="24"/>
          <w:lang w:val="en-US"/>
        </w:rPr>
        <w:t>Street</w:t>
      </w:r>
      <w:r>
        <w:rPr>
          <w:rFonts w:cs="Garamond" w:ascii="Garamond" w:hAnsi="Garamond"/>
          <w:sz w:val="24"/>
          <w:szCs w:val="24"/>
        </w:rPr>
        <w:t xml:space="preserve">, </w:t>
      </w:r>
      <w:r>
        <w:rPr>
          <w:rFonts w:cs="Garamond" w:ascii="Garamond" w:hAnsi="Garamond"/>
          <w:sz w:val="24"/>
          <w:szCs w:val="24"/>
          <w:lang w:val="en-US"/>
        </w:rPr>
        <w:t>Goudie</w:t>
      </w:r>
      <w:r>
        <w:rPr>
          <w:rFonts w:cs="Garamond" w:ascii="Garamond" w:hAnsi="Garamond"/>
          <w:sz w:val="24"/>
          <w:szCs w:val="24"/>
        </w:rPr>
        <w:t>, 1975], служит индикатором синхронной убыли нильского стока (см.: [</w:t>
      </w:r>
      <w:r>
        <w:rPr>
          <w:rFonts w:cs="Garamond" w:ascii="Garamond" w:hAnsi="Garamond"/>
          <w:sz w:val="24"/>
          <w:szCs w:val="24"/>
          <w:lang w:val="en-US"/>
        </w:rPr>
        <w:t>Adamson</w:t>
      </w:r>
      <w:r>
        <w:rPr>
          <w:rFonts w:cs="Garamond" w:ascii="Garamond" w:hAnsi="Garamond"/>
          <w:sz w:val="24"/>
          <w:szCs w:val="24"/>
        </w:rPr>
        <w:t xml:space="preserve"> </w:t>
      </w:r>
      <w:r>
        <w:rPr>
          <w:rFonts w:cs="Garamond" w:ascii="Garamond" w:hAnsi="Garamond"/>
          <w:sz w:val="24"/>
          <w:szCs w:val="24"/>
          <w:lang w:val="en-US"/>
        </w:rPr>
        <w:t>et</w:t>
      </w:r>
      <w:r>
        <w:rPr>
          <w:rFonts w:cs="Garamond" w:ascii="Garamond" w:hAnsi="Garamond"/>
          <w:sz w:val="24"/>
          <w:szCs w:val="24"/>
        </w:rPr>
        <w:t xml:space="preserve"> </w:t>
      </w:r>
      <w:r>
        <w:rPr>
          <w:rFonts w:cs="Garamond" w:ascii="Garamond" w:hAnsi="Garamond"/>
          <w:sz w:val="24"/>
          <w:szCs w:val="24"/>
          <w:lang w:val="en-US"/>
        </w:rPr>
        <w:t>al</w:t>
      </w:r>
      <w:r>
        <w:rPr>
          <w:rFonts w:cs="Garamond" w:ascii="Garamond" w:hAnsi="Garamond"/>
          <w:sz w:val="24"/>
          <w:szCs w:val="24"/>
        </w:rPr>
        <w:t>., 1980]), то не продвигаются ли здесь «бесплодные исследования» [</w:t>
      </w:r>
      <w:r>
        <w:rPr>
          <w:rFonts w:cs="Garamond" w:ascii="Garamond" w:hAnsi="Garamond"/>
          <w:sz w:val="24"/>
          <w:szCs w:val="24"/>
          <w:lang w:val="en-US"/>
        </w:rPr>
        <w:t>Midant</w:t>
      </w:r>
      <w:r>
        <w:rPr>
          <w:rFonts w:cs="Garamond" w:ascii="Garamond" w:hAnsi="Garamond"/>
          <w:sz w:val="24"/>
          <w:szCs w:val="24"/>
        </w:rPr>
        <w:t>-</w:t>
      </w:r>
      <w:r>
        <w:rPr>
          <w:rFonts w:cs="Garamond" w:ascii="Garamond" w:hAnsi="Garamond"/>
          <w:sz w:val="24"/>
          <w:szCs w:val="24"/>
          <w:lang w:val="en-US"/>
        </w:rPr>
        <w:t>Reynes</w:t>
      </w:r>
      <w:r>
        <w:rPr>
          <w:rFonts w:cs="Garamond" w:ascii="Garamond" w:hAnsi="Garamond"/>
          <w:sz w:val="24"/>
          <w:szCs w:val="24"/>
        </w:rPr>
        <w:t>, 2000] в установлении природно-климатического фактора, который оказал влияние на процесс древнеегипетского государствогенеза?</w:t>
      </w:r>
    </w:p>
    <w:p>
      <w:pPr>
        <w:pStyle w:val="Normal"/>
        <w:autoSpaceDE w:val="false"/>
        <w:ind w:end="-31" w:firstLine="720"/>
        <w:jc w:val="both"/>
        <w:rPr/>
      </w:pPr>
      <w:r>
        <w:rPr>
          <w:rFonts w:cs="Garamond" w:ascii="Garamond" w:hAnsi="Garamond"/>
          <w:sz w:val="24"/>
          <w:szCs w:val="24"/>
        </w:rPr>
        <w:t>Известно (ср.: [</w:t>
      </w:r>
      <w:r>
        <w:rPr>
          <w:rFonts w:cs="Garamond" w:ascii="Garamond" w:hAnsi="Garamond"/>
          <w:bCs/>
          <w:iCs/>
          <w:sz w:val="24"/>
          <w:szCs w:val="24"/>
          <w:lang w:val="en-US"/>
        </w:rPr>
        <w:t>Grove</w:t>
      </w:r>
      <w:r>
        <w:rPr>
          <w:rFonts w:cs="Garamond" w:ascii="Garamond" w:hAnsi="Garamond"/>
          <w:bCs/>
          <w:iCs/>
          <w:sz w:val="24"/>
          <w:szCs w:val="24"/>
        </w:rPr>
        <w:t xml:space="preserve">, </w:t>
      </w:r>
      <w:r>
        <w:rPr>
          <w:rFonts w:cs="Garamond" w:ascii="Garamond" w:hAnsi="Garamond"/>
          <w:bCs/>
          <w:iCs/>
          <w:sz w:val="24"/>
          <w:szCs w:val="24"/>
          <w:lang w:val="en-US"/>
        </w:rPr>
        <w:t>Warren</w:t>
      </w:r>
      <w:r>
        <w:rPr>
          <w:rFonts w:cs="Garamond" w:ascii="Garamond" w:hAnsi="Garamond"/>
          <w:bCs/>
          <w:iCs/>
          <w:sz w:val="24"/>
          <w:szCs w:val="24"/>
        </w:rPr>
        <w:t xml:space="preserve">, </w:t>
      </w:r>
      <w:r>
        <w:rPr>
          <w:rFonts w:cs="Garamond" w:ascii="Garamond" w:hAnsi="Garamond"/>
          <w:bCs/>
          <w:sz w:val="24"/>
          <w:szCs w:val="24"/>
        </w:rPr>
        <w:t>1968</w:t>
      </w:r>
      <w:r>
        <w:rPr>
          <w:rFonts w:cs="Garamond" w:ascii="Garamond" w:hAnsi="Garamond"/>
          <w:sz w:val="24"/>
          <w:szCs w:val="24"/>
        </w:rPr>
        <w:t xml:space="preserve">]), что в </w:t>
      </w:r>
      <w:r>
        <w:rPr>
          <w:rFonts w:cs="Garamond" w:ascii="Garamond" w:hAnsi="Garamond"/>
          <w:sz w:val="24"/>
          <w:szCs w:val="24"/>
          <w:lang w:val="en-US"/>
        </w:rPr>
        <w:t>IV</w:t>
      </w:r>
      <w:r>
        <w:rPr>
          <w:rFonts w:cs="Garamond" w:ascii="Garamond" w:hAnsi="Garamond"/>
          <w:sz w:val="24"/>
          <w:szCs w:val="24"/>
        </w:rPr>
        <w:t> тыс. до н. э. обильная водоносность дельта-Неонила [</w:t>
      </w:r>
      <w:r>
        <w:rPr>
          <w:rFonts w:cs="Garamond" w:ascii="Garamond" w:hAnsi="Garamond"/>
          <w:sz w:val="24"/>
          <w:szCs w:val="24"/>
          <w:lang w:val="en-US"/>
        </w:rPr>
        <w:t>Said</w:t>
      </w:r>
      <w:r>
        <w:rPr>
          <w:rFonts w:cs="Garamond" w:ascii="Garamond" w:hAnsi="Garamond"/>
          <w:sz w:val="24"/>
          <w:szCs w:val="24"/>
        </w:rPr>
        <w:t>, 1993], обнаруживавшая тенденцию к уменьшению на протяжении всего среднего голоцена (ср.: [</w:t>
      </w:r>
      <w:r>
        <w:rPr>
          <w:rFonts w:cs="Garamond" w:ascii="Garamond" w:hAnsi="Garamond"/>
          <w:sz w:val="24"/>
          <w:szCs w:val="24"/>
          <w:lang w:val="en-US"/>
        </w:rPr>
        <w:t>Butzer</w:t>
      </w:r>
      <w:r>
        <w:rPr>
          <w:rFonts w:cs="Garamond" w:ascii="Garamond" w:hAnsi="Garamond"/>
          <w:sz w:val="24"/>
          <w:szCs w:val="24"/>
        </w:rPr>
        <w:t xml:space="preserve">, </w:t>
      </w:r>
      <w:r>
        <w:rPr>
          <w:rFonts w:cs="Garamond" w:ascii="Garamond" w:hAnsi="Garamond"/>
          <w:sz w:val="24"/>
          <w:szCs w:val="24"/>
          <w:lang w:val="en-US"/>
        </w:rPr>
        <w:t>Hansen</w:t>
      </w:r>
      <w:r>
        <w:rPr>
          <w:rFonts w:cs="Garamond" w:ascii="Garamond" w:hAnsi="Garamond"/>
          <w:sz w:val="24"/>
          <w:szCs w:val="24"/>
        </w:rPr>
        <w:t>, 1968]), резко устремилась вниз, коррелируя с прогрессировавшими в Северной и Восточной Африке аридизацией, сокращением зоны и количества летних муссонных дождей и усыханием «тысяч» [</w:t>
      </w:r>
      <w:r>
        <w:rPr>
          <w:rFonts w:cs="Garamond" w:ascii="Garamond" w:hAnsi="Garamond"/>
          <w:sz w:val="24"/>
          <w:szCs w:val="24"/>
          <w:lang w:val="en-US"/>
        </w:rPr>
        <w:t>Woodward</w:t>
      </w:r>
      <w:r>
        <w:rPr>
          <w:rFonts w:cs="Garamond" w:ascii="Garamond" w:hAnsi="Garamond"/>
          <w:sz w:val="24"/>
          <w:szCs w:val="24"/>
        </w:rPr>
        <w:t xml:space="preserve"> </w:t>
      </w:r>
      <w:r>
        <w:rPr>
          <w:rFonts w:cs="Garamond" w:ascii="Garamond" w:hAnsi="Garamond"/>
          <w:sz w:val="24"/>
          <w:szCs w:val="24"/>
          <w:lang w:val="en-US"/>
        </w:rPr>
        <w:t>et</w:t>
      </w:r>
      <w:r>
        <w:rPr>
          <w:rFonts w:cs="Garamond" w:ascii="Garamond" w:hAnsi="Garamond"/>
          <w:sz w:val="24"/>
          <w:szCs w:val="24"/>
        </w:rPr>
        <w:t xml:space="preserve"> </w:t>
      </w:r>
      <w:r>
        <w:rPr>
          <w:rFonts w:cs="Garamond" w:ascii="Garamond" w:hAnsi="Garamond"/>
          <w:sz w:val="24"/>
          <w:szCs w:val="24"/>
          <w:lang w:val="en-US"/>
        </w:rPr>
        <w:t>al</w:t>
      </w:r>
      <w:r>
        <w:rPr>
          <w:rFonts w:cs="Garamond" w:ascii="Garamond" w:hAnsi="Garamond"/>
          <w:sz w:val="24"/>
          <w:szCs w:val="24"/>
        </w:rPr>
        <w:t>., 2015] вливавшихся в Реку водотоков вади (см. также: [</w:t>
      </w:r>
      <w:r>
        <w:rPr>
          <w:rFonts w:cs="Garamond" w:ascii="Garamond" w:hAnsi="Garamond"/>
          <w:sz w:val="24"/>
          <w:szCs w:val="24"/>
          <w:lang w:val="en-US"/>
        </w:rPr>
        <w:t>Dufton</w:t>
      </w:r>
      <w:r>
        <w:rPr>
          <w:rFonts w:cs="Garamond" w:ascii="Garamond" w:hAnsi="Garamond"/>
          <w:sz w:val="24"/>
          <w:szCs w:val="24"/>
        </w:rPr>
        <w:t xml:space="preserve">, </w:t>
      </w:r>
      <w:r>
        <w:rPr>
          <w:rFonts w:cs="Garamond" w:ascii="Garamond" w:hAnsi="Garamond"/>
          <w:sz w:val="24"/>
          <w:szCs w:val="24"/>
          <w:lang w:val="en-US"/>
        </w:rPr>
        <w:t>Branton</w:t>
      </w:r>
      <w:r>
        <w:rPr>
          <w:rFonts w:cs="Garamond" w:ascii="Garamond" w:hAnsi="Garamond"/>
          <w:sz w:val="24"/>
          <w:szCs w:val="24"/>
        </w:rPr>
        <w:t xml:space="preserve">, 2010]). «В период позднего неолита и додинастики (около 3350 г. до н. э.) </w:t>
      </w:r>
      <w:r>
        <w:rPr>
          <w:rFonts w:cs="Garamond" w:ascii="Garamond" w:hAnsi="Garamond"/>
          <w:i/>
          <w:sz w:val="24"/>
          <w:szCs w:val="24"/>
        </w:rPr>
        <w:t>внезапное падение уровня Нила</w:t>
      </w:r>
      <w:r>
        <w:rPr>
          <w:rFonts w:cs="Garamond" w:ascii="Garamond" w:hAnsi="Garamond"/>
          <w:sz w:val="24"/>
          <w:szCs w:val="24"/>
        </w:rPr>
        <w:t xml:space="preserve"> </w:t>
      </w:r>
      <w:r>
        <w:rPr>
          <w:rFonts w:cs="Garamond" w:ascii="Garamond" w:hAnsi="Garamond"/>
          <w:i/>
          <w:sz w:val="24"/>
          <w:szCs w:val="24"/>
        </w:rPr>
        <w:t>обнажило большие площади речного русла</w:t>
      </w:r>
      <w:r>
        <w:rPr>
          <w:rFonts w:cs="Garamond" w:ascii="Garamond" w:hAnsi="Garamond"/>
          <w:sz w:val="24"/>
          <w:szCs w:val="24"/>
        </w:rPr>
        <w:t xml:space="preserve"> (курсив мой. — </w:t>
      </w:r>
      <w:r>
        <w:rPr>
          <w:rFonts w:cs="Garamond" w:ascii="Garamond" w:hAnsi="Garamond"/>
          <w:i/>
          <w:sz w:val="24"/>
          <w:szCs w:val="24"/>
        </w:rPr>
        <w:t>Д. П.</w:t>
      </w:r>
      <w:r>
        <w:rPr>
          <w:rFonts w:cs="Garamond" w:ascii="Garamond" w:hAnsi="Garamond"/>
          <w:sz w:val="24"/>
          <w:szCs w:val="24"/>
        </w:rPr>
        <w:t>)… Формирование современного облика заливной поймы началось примерно в эпоху Группы А и Раннего царства»</w:t>
      </w:r>
      <w:r>
        <w:rPr>
          <w:rStyle w:val="Style14"/>
          <w:rStyle w:val="Style19"/>
          <w:rFonts w:cs="Garamond" w:ascii="Garamond" w:hAnsi="Garamond"/>
          <w:sz w:val="24"/>
          <w:szCs w:val="24"/>
        </w:rPr>
        <w:footnoteReference w:id="23"/>
      </w:r>
      <w:r>
        <w:rPr>
          <w:rFonts w:cs="Garamond" w:ascii="Garamond" w:hAnsi="Garamond"/>
          <w:sz w:val="24"/>
          <w:szCs w:val="24"/>
        </w:rPr>
        <w:t xml:space="preserve"> [</w:t>
      </w:r>
      <w:r>
        <w:rPr>
          <w:rFonts w:cs="Garamond" w:ascii="Garamond" w:hAnsi="Garamond"/>
          <w:sz w:val="24"/>
          <w:szCs w:val="24"/>
          <w:lang w:val="en-US"/>
        </w:rPr>
        <w:t>de</w:t>
      </w:r>
      <w:r>
        <w:rPr>
          <w:rFonts w:cs="Garamond" w:ascii="Garamond" w:hAnsi="Garamond"/>
          <w:sz w:val="24"/>
          <w:szCs w:val="24"/>
        </w:rPr>
        <w:t xml:space="preserve"> </w:t>
      </w:r>
      <w:r>
        <w:rPr>
          <w:rFonts w:cs="Garamond" w:ascii="Garamond" w:hAnsi="Garamond"/>
          <w:iCs/>
          <w:sz w:val="24"/>
          <w:szCs w:val="24"/>
          <w:lang w:val="en-US"/>
        </w:rPr>
        <w:t>Heinzelin</w:t>
      </w:r>
      <w:r>
        <w:rPr>
          <w:rFonts w:cs="Garamond" w:ascii="Garamond" w:hAnsi="Garamond"/>
          <w:sz w:val="24"/>
          <w:szCs w:val="24"/>
        </w:rPr>
        <w:t xml:space="preserve">, 1968; ср.: </w:t>
      </w:r>
      <w:r>
        <w:rPr>
          <w:rFonts w:cs="Garamond" w:ascii="Garamond" w:hAnsi="Garamond"/>
          <w:sz w:val="24"/>
          <w:szCs w:val="24"/>
          <w:lang w:val="en-US"/>
        </w:rPr>
        <w:t>Fairbridge</w:t>
      </w:r>
      <w:r>
        <w:rPr>
          <w:rFonts w:cs="Garamond" w:ascii="Garamond" w:hAnsi="Garamond"/>
          <w:sz w:val="24"/>
          <w:szCs w:val="24"/>
        </w:rPr>
        <w:t>, 1962]. При этом, по выкладкам археологов, обследовавших «асуанский резервуар» перед его затоплением озером Насер, «культурное пространство нильской Нубии» к северу от 2-го</w:t>
      </w:r>
      <w:r>
        <w:rPr>
          <w:rFonts w:cs="Garamond" w:ascii="Garamond" w:hAnsi="Garamond"/>
          <w:sz w:val="24"/>
          <w:szCs w:val="24"/>
          <w:lang w:val="en-US"/>
        </w:rPr>
        <w:t> </w:t>
      </w:r>
      <w:r>
        <w:rPr>
          <w:rFonts w:cs="Garamond" w:ascii="Garamond" w:hAnsi="Garamond"/>
          <w:sz w:val="24"/>
          <w:szCs w:val="24"/>
        </w:rPr>
        <w:t>порога с проникновением в Египет «по меньшей мере до 1-го</w:t>
      </w:r>
      <w:r>
        <w:rPr>
          <w:rFonts w:cs="Garamond" w:ascii="Garamond" w:hAnsi="Garamond"/>
          <w:sz w:val="24"/>
          <w:szCs w:val="24"/>
          <w:lang w:val="en-US"/>
        </w:rPr>
        <w:t> </w:t>
      </w:r>
      <w:r>
        <w:rPr>
          <w:rFonts w:cs="Garamond" w:ascii="Garamond" w:hAnsi="Garamond"/>
          <w:sz w:val="24"/>
          <w:szCs w:val="24"/>
        </w:rPr>
        <w:t>катаракта, а возможно, и за Ком Омбо» получило развитие до указанного «глубокого понижения» («неолитического спада») Главного Нила [</w:t>
      </w:r>
      <w:r>
        <w:rPr>
          <w:rFonts w:cs="Garamond" w:ascii="Garamond" w:hAnsi="Garamond"/>
          <w:sz w:val="24"/>
          <w:szCs w:val="24"/>
          <w:lang w:val="en-US"/>
        </w:rPr>
        <w:t>Wendorf</w:t>
      </w:r>
      <w:r>
        <w:rPr>
          <w:rFonts w:cs="Garamond" w:ascii="Garamond" w:hAnsi="Garamond"/>
          <w:sz w:val="24"/>
          <w:szCs w:val="24"/>
        </w:rPr>
        <w:t xml:space="preserve">, 1968]. По оценкам австралийского геолога и палеоклиматолога Р. Фэрбриджа, в начале </w:t>
      </w:r>
      <w:r>
        <w:rPr>
          <w:rFonts w:cs="Garamond" w:ascii="Garamond" w:hAnsi="Garamond"/>
          <w:sz w:val="24"/>
          <w:szCs w:val="24"/>
          <w:lang w:val="en-US"/>
        </w:rPr>
        <w:t>IV</w:t>
      </w:r>
      <w:r>
        <w:rPr>
          <w:rFonts w:cs="Garamond" w:ascii="Garamond" w:hAnsi="Garamond"/>
          <w:sz w:val="24"/>
          <w:szCs w:val="24"/>
        </w:rPr>
        <w:t> тыс. до н. э. годовой объем нильского стока достигал 120–150 км</w:t>
      </w:r>
      <w:r>
        <w:rPr>
          <w:rFonts w:cs="Garamond" w:ascii="Garamond" w:hAnsi="Garamond"/>
          <w:sz w:val="24"/>
          <w:szCs w:val="24"/>
          <w:vertAlign w:val="superscript"/>
        </w:rPr>
        <w:t>3</w:t>
      </w:r>
      <w:r>
        <w:rPr>
          <w:rFonts w:cs="Garamond" w:ascii="Garamond" w:hAnsi="Garamond"/>
          <w:sz w:val="24"/>
          <w:szCs w:val="24"/>
        </w:rPr>
        <w:t>, т. е. превосходил современный (составляющий в среднем 85 км</w:t>
      </w:r>
      <w:r>
        <w:rPr>
          <w:rFonts w:cs="Garamond" w:ascii="Garamond" w:hAnsi="Garamond"/>
          <w:sz w:val="24"/>
          <w:szCs w:val="24"/>
          <w:vertAlign w:val="superscript"/>
        </w:rPr>
        <w:t>3</w:t>
      </w:r>
      <w:r>
        <w:rPr>
          <w:rFonts w:cs="Garamond" w:ascii="Garamond" w:hAnsi="Garamond"/>
          <w:sz w:val="24"/>
          <w:szCs w:val="24"/>
        </w:rPr>
        <w:t>) на 41–76 %, а разливы в Нубии могли быть выше их исторической нормы на 15 м; предположительно, даже на излете «неолитического спада» около 3200 г. до н. э.</w:t>
      </w:r>
      <w:r>
        <w:rPr>
          <w:rStyle w:val="Style14"/>
          <w:rStyle w:val="Style19"/>
          <w:rFonts w:cs="Garamond" w:ascii="Garamond" w:hAnsi="Garamond"/>
          <w:sz w:val="24"/>
          <w:szCs w:val="24"/>
        </w:rPr>
        <w:footnoteReference w:id="24"/>
      </w:r>
      <w:r>
        <w:rPr>
          <w:rFonts w:cs="Garamond" w:ascii="Garamond" w:hAnsi="Garamond"/>
          <w:sz w:val="24"/>
          <w:szCs w:val="24"/>
        </w:rPr>
        <w:t xml:space="preserve"> сток Нила был объемнее сегодняшнего на 20 % [</w:t>
      </w:r>
      <w:r>
        <w:rPr>
          <w:rFonts w:eastAsia="Arial Unicode MS" w:cs="Garamond" w:ascii="Garamond" w:hAnsi="Garamond"/>
          <w:sz w:val="24"/>
          <w:szCs w:val="24"/>
          <w:lang w:val="en-US"/>
        </w:rPr>
        <w:t>Fairbridge</w:t>
      </w:r>
      <w:r>
        <w:rPr>
          <w:rFonts w:eastAsia="Arial Unicode MS" w:cs="Garamond" w:ascii="Garamond" w:hAnsi="Garamond"/>
          <w:sz w:val="24"/>
          <w:szCs w:val="24"/>
        </w:rPr>
        <w:t>, 1976</w:t>
      </w:r>
      <w:r>
        <w:rPr>
          <w:rFonts w:cs="Garamond" w:ascii="Garamond" w:hAnsi="Garamond"/>
          <w:sz w:val="24"/>
          <w:szCs w:val="24"/>
        </w:rPr>
        <w:t>], что, не исключено, нашло отражение в древнеегипетской летописи Палермского камня [</w:t>
      </w:r>
      <w:r>
        <w:rPr>
          <w:rFonts w:cs="Garamond" w:ascii="Garamond" w:hAnsi="Garamond"/>
          <w:sz w:val="24"/>
          <w:szCs w:val="24"/>
          <w:lang w:val="en-US"/>
        </w:rPr>
        <w:t>O</w:t>
      </w:r>
      <w:r>
        <w:rPr>
          <w:rFonts w:cs="Garamond" w:ascii="Garamond" w:hAnsi="Garamond"/>
          <w:sz w:val="24"/>
          <w:szCs w:val="24"/>
        </w:rPr>
        <w:t>’</w:t>
      </w:r>
      <w:r>
        <w:rPr>
          <w:rFonts w:cs="Garamond" w:ascii="Garamond" w:hAnsi="Garamond"/>
          <w:sz w:val="24"/>
          <w:szCs w:val="24"/>
          <w:lang w:val="en-US"/>
        </w:rPr>
        <w:t>Mara</w:t>
      </w:r>
      <w:r>
        <w:rPr>
          <w:rFonts w:cs="Garamond" w:ascii="Garamond" w:hAnsi="Garamond"/>
          <w:sz w:val="24"/>
          <w:szCs w:val="24"/>
        </w:rPr>
        <w:t xml:space="preserve">, 1979; </w:t>
      </w:r>
      <w:r>
        <w:rPr>
          <w:rFonts w:cs="Garamond" w:ascii="Garamond" w:hAnsi="Garamond"/>
          <w:sz w:val="24"/>
          <w:szCs w:val="24"/>
          <w:lang w:val="en-US"/>
        </w:rPr>
        <w:t>Sch</w:t>
      </w:r>
      <w:r>
        <w:rPr>
          <w:rFonts w:eastAsia="Times New Roman" w:cs="Times New Roman"/>
          <w:sz w:val="24"/>
          <w:szCs w:val="24"/>
        </w:rPr>
        <w:t>ä</w:t>
      </w:r>
      <w:r>
        <w:rPr>
          <w:rFonts w:cs="Garamond" w:ascii="Garamond" w:hAnsi="Garamond"/>
          <w:sz w:val="24"/>
          <w:szCs w:val="24"/>
          <w:lang w:val="en-US"/>
        </w:rPr>
        <w:t>fer</w:t>
      </w:r>
      <w:r>
        <w:rPr>
          <w:rFonts w:cs="Garamond" w:ascii="Garamond" w:hAnsi="Garamond"/>
          <w:sz w:val="24"/>
          <w:szCs w:val="24"/>
        </w:rPr>
        <w:t>, 1902], зафиксировавшей «аномально» высокий, превышавший минимум этого списка на ~4 м, разлив в 30-й год</w:t>
      </w:r>
      <w:r>
        <w:rPr>
          <w:rStyle w:val="Style14"/>
          <w:rStyle w:val="Style19"/>
          <w:rFonts w:cs="Garamond" w:ascii="Garamond" w:hAnsi="Garamond"/>
          <w:sz w:val="24"/>
          <w:szCs w:val="24"/>
        </w:rPr>
        <w:footnoteReference w:id="25"/>
      </w:r>
      <w:r>
        <w:rPr>
          <w:rFonts w:cs="Garamond" w:ascii="Garamond" w:hAnsi="Garamond"/>
          <w:sz w:val="24"/>
          <w:szCs w:val="24"/>
        </w:rPr>
        <w:t xml:space="preserve"> царствования царя </w:t>
      </w:r>
      <w:r>
        <w:rPr>
          <w:rFonts w:cs="Garamond" w:ascii="Garamond" w:hAnsi="Garamond"/>
          <w:sz w:val="24"/>
          <w:szCs w:val="24"/>
          <w:lang w:val="en-US"/>
        </w:rPr>
        <w:t>I</w:t>
      </w:r>
      <w:r>
        <w:rPr>
          <w:rFonts w:cs="Garamond" w:ascii="Garamond" w:hAnsi="Garamond"/>
          <w:sz w:val="24"/>
          <w:szCs w:val="24"/>
        </w:rPr>
        <w:t> династии Хора «Дена» [Прусаков, 1996] (чье сложное для понимания имя египтологи</w:t>
      </w:r>
      <w:r>
        <w:rPr>
          <w:rStyle w:val="Style14"/>
          <w:rStyle w:val="Style19"/>
          <w:rFonts w:cs="Garamond" w:ascii="Garamond" w:hAnsi="Garamond"/>
          <w:sz w:val="24"/>
          <w:szCs w:val="24"/>
        </w:rPr>
        <w:footnoteReference w:id="26"/>
      </w:r>
      <w:r>
        <w:rPr>
          <w:rFonts w:cs="Garamond" w:ascii="Garamond" w:hAnsi="Garamond"/>
          <w:sz w:val="24"/>
          <w:szCs w:val="24"/>
        </w:rPr>
        <w:t xml:space="preserve"> долго интерпретировали как </w:t>
      </w:r>
      <w:r>
        <w:rPr>
          <w:rFonts w:cs="Transliteration" w:ascii="Transliteration" w:hAnsi="Transliteration"/>
        </w:rPr>
        <w:t>Wdj-mw</w:t>
      </w:r>
      <w:r>
        <w:rPr>
          <w:rFonts w:cs="Garamond" w:ascii="Garamond" w:hAnsi="Garamond"/>
          <w:sz w:val="24"/>
          <w:szCs w:val="24"/>
          <w:lang w:val="en-US"/>
        </w:rPr>
        <w:t> </w:t>
      </w:r>
      <w:r>
        <w:rPr>
          <w:rFonts w:cs="Garamond" w:ascii="Garamond" w:hAnsi="Garamond"/>
          <w:sz w:val="24"/>
          <w:szCs w:val="24"/>
        </w:rPr>
        <w:t>— «Податель Воды», см.: [Большаков, 2015]). С такого рода данными идеально согласуются сосредоточенные вдоль Реки в Нижней Нубии (см.: [</w:t>
      </w:r>
      <w:r>
        <w:rPr>
          <w:rFonts w:cs="Garamond" w:ascii="Garamond" w:hAnsi="Garamond"/>
          <w:sz w:val="24"/>
          <w:szCs w:val="24"/>
          <w:lang w:val="en-US"/>
        </w:rPr>
        <w:t>Almagro</w:t>
      </w:r>
      <w:r>
        <w:rPr>
          <w:rFonts w:cs="Garamond" w:ascii="Garamond" w:hAnsi="Garamond"/>
          <w:sz w:val="24"/>
          <w:szCs w:val="24"/>
        </w:rPr>
        <w:t xml:space="preserve"> </w:t>
      </w:r>
      <w:r>
        <w:rPr>
          <w:rFonts w:cs="Garamond" w:ascii="Garamond" w:hAnsi="Garamond"/>
          <w:sz w:val="24"/>
          <w:szCs w:val="24"/>
          <w:lang w:val="en-US"/>
        </w:rPr>
        <w:t>Basch</w:t>
      </w:r>
      <w:r>
        <w:rPr>
          <w:rFonts w:cs="Garamond" w:ascii="Garamond" w:hAnsi="Garamond"/>
          <w:sz w:val="24"/>
          <w:szCs w:val="24"/>
        </w:rPr>
        <w:t xml:space="preserve">, </w:t>
      </w:r>
      <w:r>
        <w:rPr>
          <w:rFonts w:cs="Garamond" w:ascii="Garamond" w:hAnsi="Garamond"/>
          <w:sz w:val="24"/>
          <w:szCs w:val="24"/>
          <w:lang w:val="en-US"/>
        </w:rPr>
        <w:t>Almagro</w:t>
      </w:r>
      <w:r>
        <w:rPr>
          <w:rFonts w:cs="Garamond" w:ascii="Garamond" w:hAnsi="Garamond"/>
          <w:sz w:val="24"/>
          <w:szCs w:val="24"/>
        </w:rPr>
        <w:t xml:space="preserve"> </w:t>
      </w:r>
      <w:r>
        <w:rPr>
          <w:rFonts w:cs="Garamond" w:ascii="Garamond" w:hAnsi="Garamond"/>
          <w:sz w:val="24"/>
          <w:szCs w:val="24"/>
          <w:lang w:val="en-US"/>
        </w:rPr>
        <w:t>Gorbea</w:t>
      </w:r>
      <w:r>
        <w:rPr>
          <w:rFonts w:cs="Garamond" w:ascii="Garamond" w:hAnsi="Garamond"/>
          <w:sz w:val="24"/>
          <w:szCs w:val="24"/>
        </w:rPr>
        <w:t xml:space="preserve">, 1968; </w:t>
      </w:r>
      <w:r>
        <w:rPr>
          <w:rFonts w:cs="Garamond" w:ascii="Garamond" w:hAnsi="Garamond"/>
          <w:sz w:val="24"/>
          <w:szCs w:val="24"/>
          <w:lang w:val="en-US"/>
        </w:rPr>
        <w:t>Engelmayer</w:t>
      </w:r>
      <w:r>
        <w:rPr>
          <w:rFonts w:cs="Garamond" w:ascii="Garamond" w:hAnsi="Garamond"/>
          <w:sz w:val="24"/>
          <w:szCs w:val="24"/>
        </w:rPr>
        <w:t>, 1965]) доисторические петроглифы прежде всего «прямоугольных» [</w:t>
      </w:r>
      <w:r>
        <w:rPr>
          <w:rFonts w:cs="Garamond" w:ascii="Garamond" w:hAnsi="Garamond"/>
          <w:sz w:val="24"/>
          <w:szCs w:val="24"/>
          <w:lang w:val="en-US"/>
        </w:rPr>
        <w:t>Winkler</w:t>
      </w:r>
      <w:r>
        <w:rPr>
          <w:rFonts w:cs="Garamond" w:ascii="Garamond" w:hAnsi="Garamond"/>
          <w:sz w:val="24"/>
          <w:szCs w:val="24"/>
        </w:rPr>
        <w:t>, 1938] — «морских» [Прусаков, 2015] лодок, которые в «период торговли» между культурой Нагада и Группой А, вероятно, обеспечивали перевозку людей и грузов на участке полноводнейшего дельта-Неонила «от Верхнего Египта до порогов Батн эль-Хагара» [</w:t>
      </w:r>
      <w:r>
        <w:rPr>
          <w:rFonts w:cs="Garamond" w:ascii="Garamond" w:hAnsi="Garamond"/>
          <w:sz w:val="24"/>
          <w:szCs w:val="24"/>
          <w:lang w:val="en-US"/>
        </w:rPr>
        <w:t>Midant</w:t>
      </w:r>
      <w:r>
        <w:rPr>
          <w:rFonts w:cs="Garamond" w:ascii="Garamond" w:hAnsi="Garamond"/>
          <w:sz w:val="24"/>
          <w:szCs w:val="24"/>
        </w:rPr>
        <w:t>-</w:t>
      </w:r>
      <w:r>
        <w:rPr>
          <w:rFonts w:cs="Garamond" w:ascii="Garamond" w:hAnsi="Garamond"/>
          <w:sz w:val="24"/>
          <w:szCs w:val="24"/>
          <w:lang w:val="en-US"/>
        </w:rPr>
        <w:t>Reynes</w:t>
      </w:r>
      <w:r>
        <w:rPr>
          <w:rFonts w:cs="Garamond" w:ascii="Garamond" w:hAnsi="Garamond"/>
          <w:sz w:val="24"/>
          <w:szCs w:val="24"/>
        </w:rPr>
        <w:t>, 2000].</w:t>
      </w:r>
    </w:p>
    <w:p>
      <w:pPr>
        <w:pStyle w:val="Normal"/>
        <w:autoSpaceDE w:val="false"/>
        <w:ind w:end="-31" w:firstLine="720"/>
        <w:jc w:val="both"/>
        <w:rPr/>
      </w:pPr>
      <w:r>
        <w:rPr>
          <w:rFonts w:cs="Garamond" w:ascii="Garamond" w:hAnsi="Garamond"/>
          <w:sz w:val="24"/>
          <w:szCs w:val="24"/>
        </w:rPr>
        <w:t>Довольно разнообразная в целом петроглифика этого района (точнее, того, что от него осталось после возведения Высотной Асуанской плотины и достижения водохранилищем Насер эксплуатационного уровня) распространилась здесь в эпипалеолите/неолите и резко сошла на нет по окончании додинастики [</w:t>
      </w:r>
      <w:r>
        <w:rPr>
          <w:rFonts w:cs="Garamond" w:ascii="Garamond" w:hAnsi="Garamond"/>
          <w:sz w:val="24"/>
          <w:szCs w:val="24"/>
          <w:lang w:val="en-US"/>
        </w:rPr>
        <w:t>Storemyr</w:t>
      </w:r>
      <w:r>
        <w:rPr>
          <w:rFonts w:cs="Garamond" w:ascii="Garamond" w:hAnsi="Garamond"/>
          <w:sz w:val="24"/>
          <w:szCs w:val="24"/>
        </w:rPr>
        <w:t xml:space="preserve">, 2009; ср.: </w:t>
      </w:r>
      <w:r>
        <w:rPr>
          <w:rFonts w:cs="Garamond" w:ascii="Garamond" w:hAnsi="Garamond"/>
          <w:sz w:val="24"/>
          <w:szCs w:val="24"/>
          <w:lang w:val="en-US"/>
        </w:rPr>
        <w:t>Gatto</w:t>
      </w:r>
      <w:r>
        <w:rPr>
          <w:rFonts w:cs="Garamond" w:ascii="Garamond" w:hAnsi="Garamond"/>
          <w:sz w:val="24"/>
          <w:szCs w:val="24"/>
        </w:rPr>
        <w:t xml:space="preserve"> </w:t>
      </w:r>
      <w:r>
        <w:rPr>
          <w:rFonts w:cs="Garamond" w:ascii="Garamond" w:hAnsi="Garamond"/>
          <w:sz w:val="24"/>
          <w:szCs w:val="24"/>
          <w:lang w:val="en-US"/>
        </w:rPr>
        <w:t>et</w:t>
      </w:r>
      <w:r>
        <w:rPr>
          <w:rFonts w:cs="Garamond" w:ascii="Garamond" w:hAnsi="Garamond"/>
          <w:sz w:val="24"/>
          <w:szCs w:val="24"/>
        </w:rPr>
        <w:t xml:space="preserve"> </w:t>
      </w:r>
      <w:r>
        <w:rPr>
          <w:rFonts w:cs="Garamond" w:ascii="Garamond" w:hAnsi="Garamond"/>
          <w:sz w:val="24"/>
          <w:szCs w:val="24"/>
          <w:lang w:val="en-US"/>
        </w:rPr>
        <w:t>al</w:t>
      </w:r>
      <w:r>
        <w:rPr>
          <w:rFonts w:cs="Garamond" w:ascii="Garamond" w:hAnsi="Garamond"/>
          <w:sz w:val="24"/>
          <w:szCs w:val="24"/>
        </w:rPr>
        <w:t xml:space="preserve">., 2009]. Простейшие «геометрические» узоры, представляющие собой прямые и извилистые линии, окружности, сетки и т. п., датируются специалистами начиная с </w:t>
      </w:r>
      <w:r>
        <w:rPr>
          <w:rFonts w:cs="Garamond" w:ascii="Garamond" w:hAnsi="Garamond"/>
          <w:sz w:val="24"/>
          <w:szCs w:val="24"/>
          <w:lang w:val="en-US"/>
        </w:rPr>
        <w:t>IX</w:t>
      </w:r>
      <w:r>
        <w:rPr>
          <w:rFonts w:cs="Garamond" w:ascii="Garamond" w:hAnsi="Garamond"/>
          <w:sz w:val="24"/>
          <w:szCs w:val="24"/>
        </w:rPr>
        <w:t>–</w:t>
      </w:r>
      <w:r>
        <w:rPr>
          <w:rFonts w:cs="Garamond" w:ascii="Garamond" w:hAnsi="Garamond"/>
          <w:sz w:val="24"/>
          <w:szCs w:val="24"/>
          <w:lang w:val="en-US"/>
        </w:rPr>
        <w:t>VII</w:t>
      </w:r>
      <w:r>
        <w:rPr>
          <w:rFonts w:cs="Garamond" w:ascii="Garamond" w:hAnsi="Garamond"/>
          <w:sz w:val="24"/>
          <w:szCs w:val="24"/>
        </w:rPr>
        <w:t> тыс. до н. э., причем, «несмотря на множество подходящих для их нанесения прибрежных скальных обнажений», располагаются они на некотором удалении от Нила. «Возможно, имелись природные причины наблюдаемого отсутствия следов раннего наскального искусства непосредственно у реки, если только те не были скрыты песчаными дюнами или разрушены</w:t>
      </w:r>
      <w:r>
        <w:rPr>
          <w:rStyle w:val="Style14"/>
          <w:rStyle w:val="Style19"/>
          <w:rFonts w:cs="Garamond" w:ascii="Garamond" w:hAnsi="Garamond"/>
          <w:sz w:val="24"/>
          <w:szCs w:val="24"/>
        </w:rPr>
        <w:footnoteReference w:id="27"/>
      </w:r>
      <w:r>
        <w:rPr>
          <w:rFonts w:cs="Garamond" w:ascii="Garamond" w:hAnsi="Garamond"/>
          <w:sz w:val="24"/>
          <w:szCs w:val="24"/>
        </w:rPr>
        <w:t>» [</w:t>
      </w:r>
      <w:r>
        <w:rPr>
          <w:rFonts w:cs="Garamond" w:ascii="Garamond" w:hAnsi="Garamond"/>
          <w:sz w:val="24"/>
          <w:szCs w:val="24"/>
          <w:lang w:val="en-US"/>
        </w:rPr>
        <w:t>Storemyr</w:t>
      </w:r>
      <w:r>
        <w:rPr>
          <w:rFonts w:cs="Garamond" w:ascii="Garamond" w:hAnsi="Garamond"/>
          <w:sz w:val="24"/>
          <w:szCs w:val="24"/>
        </w:rPr>
        <w:t xml:space="preserve">, 2009]. Одна из них гипотетически могла заключаться в неразвитости аллювиального почвенного покрова, что до </w:t>
      </w:r>
      <w:r>
        <w:rPr>
          <w:rFonts w:cs="Garamond" w:ascii="Garamond" w:hAnsi="Garamond"/>
          <w:sz w:val="24"/>
          <w:szCs w:val="24"/>
          <w:lang w:val="en-US"/>
        </w:rPr>
        <w:t>VI</w:t>
      </w:r>
      <w:r>
        <w:rPr>
          <w:rFonts w:cs="Garamond" w:ascii="Garamond" w:hAnsi="Garamond"/>
          <w:sz w:val="24"/>
          <w:szCs w:val="24"/>
        </w:rPr>
        <w:t>–</w:t>
      </w:r>
      <w:r>
        <w:rPr>
          <w:rFonts w:cs="Garamond" w:ascii="Garamond" w:hAnsi="Garamond"/>
          <w:sz w:val="24"/>
          <w:szCs w:val="24"/>
          <w:lang w:val="en-US"/>
        </w:rPr>
        <w:t>V</w:t>
      </w:r>
      <w:r>
        <w:rPr>
          <w:rFonts w:cs="Garamond" w:ascii="Garamond" w:hAnsi="Garamond"/>
          <w:sz w:val="24"/>
          <w:szCs w:val="24"/>
        </w:rPr>
        <w:t xml:space="preserve"> тыс. до н. э. сдерживало массовое заселение нильской (в первую очередь египетской) поймы, еще не пригодной для земледелия [Прусаков, 2009; ср.: </w:t>
      </w:r>
      <w:r>
        <w:rPr>
          <w:rFonts w:cs="Garamond" w:ascii="Garamond" w:hAnsi="Garamond"/>
          <w:sz w:val="24"/>
          <w:szCs w:val="24"/>
          <w:lang w:val="en-US"/>
        </w:rPr>
        <w:t>Kuper</w:t>
      </w:r>
      <w:r>
        <w:rPr>
          <w:rFonts w:cs="Garamond" w:ascii="Garamond" w:hAnsi="Garamond"/>
          <w:sz w:val="24"/>
          <w:szCs w:val="24"/>
        </w:rPr>
        <w:t xml:space="preserve">, </w:t>
      </w:r>
      <w:r>
        <w:rPr>
          <w:rFonts w:cs="Garamond" w:ascii="Garamond" w:hAnsi="Garamond"/>
          <w:sz w:val="24"/>
          <w:szCs w:val="24"/>
          <w:lang w:val="en-US"/>
        </w:rPr>
        <w:t>Kr</w:t>
      </w:r>
      <w:r>
        <w:rPr>
          <w:rFonts w:cs="Garamond" w:ascii="Garamond" w:hAnsi="Garamond"/>
          <w:sz w:val="24"/>
          <w:szCs w:val="24"/>
        </w:rPr>
        <w:t>ö</w:t>
      </w:r>
      <w:r>
        <w:rPr>
          <w:rFonts w:cs="Garamond" w:ascii="Garamond" w:hAnsi="Garamond"/>
          <w:sz w:val="24"/>
          <w:szCs w:val="24"/>
          <w:lang w:val="en-US"/>
        </w:rPr>
        <w:t>pelin</w:t>
      </w:r>
      <w:r>
        <w:rPr>
          <w:rFonts w:cs="Garamond" w:ascii="Garamond" w:hAnsi="Garamond"/>
          <w:sz w:val="24"/>
          <w:szCs w:val="24"/>
        </w:rPr>
        <w:t>, 2006]. Вместе с тем данную археологическую ситуацию заманчиво связать с вопросом об урезах воды Главного Нила в среднем голоцене, несомненно, пролегавших несколько выше береговых границ исторического времени, протодинастический пролог которого (Нагада </w:t>
      </w:r>
      <w:r>
        <w:rPr>
          <w:rFonts w:cs="Garamond" w:ascii="Garamond" w:hAnsi="Garamond"/>
          <w:sz w:val="24"/>
          <w:szCs w:val="24"/>
          <w:lang w:val="en-US"/>
        </w:rPr>
        <w:t>III</w:t>
      </w:r>
      <w:r>
        <w:rPr>
          <w:rFonts w:cs="Garamond" w:ascii="Garamond" w:hAnsi="Garamond"/>
          <w:sz w:val="24"/>
          <w:szCs w:val="24"/>
        </w:rPr>
        <w:t>), по-видимому, совпал с завершением «неолитического спада» Реки.</w:t>
      </w:r>
    </w:p>
    <w:p>
      <w:pPr>
        <w:pStyle w:val="Normal"/>
        <w:autoSpaceDE w:val="false"/>
        <w:ind w:end="-31" w:firstLine="720"/>
        <w:jc w:val="both"/>
        <w:rPr>
          <w:rFonts w:ascii="Garamond" w:hAnsi="Garamond" w:cs="Garamond"/>
          <w:sz w:val="24"/>
          <w:szCs w:val="24"/>
          <w:lang w:val="en-US"/>
        </w:rPr>
      </w:pPr>
      <w:r>
        <w:rPr>
          <w:rFonts w:cs="Garamond" w:ascii="Garamond" w:hAnsi="Garamond"/>
          <w:sz w:val="24"/>
          <w:szCs w:val="24"/>
        </w:rPr>
        <w:t>Из более поздних петроглифов рассматриваемого комплекса, запечатлевших лодки, людей и животных, хронологически ближайшими к «геометрическим» считаются рисунки жирафов, относящиеся к периоду Нагада </w:t>
      </w:r>
      <w:r>
        <w:rPr>
          <w:rFonts w:cs="Garamond" w:ascii="Garamond" w:hAnsi="Garamond"/>
          <w:sz w:val="24"/>
          <w:szCs w:val="24"/>
          <w:lang w:val="en-US"/>
        </w:rPr>
        <w:t>I</w:t>
      </w:r>
      <w:r>
        <w:rPr>
          <w:rFonts w:cs="Garamond" w:ascii="Garamond" w:hAnsi="Garamond"/>
          <w:sz w:val="24"/>
          <w:szCs w:val="24"/>
        </w:rPr>
        <w:t xml:space="preserve"> [</w:t>
      </w:r>
      <w:r>
        <w:rPr>
          <w:rFonts w:cs="Garamond" w:ascii="Garamond" w:hAnsi="Garamond"/>
          <w:sz w:val="24"/>
          <w:szCs w:val="24"/>
          <w:lang w:val="en-US"/>
        </w:rPr>
        <w:t>Huyge</w:t>
      </w:r>
      <w:r>
        <w:rPr>
          <w:rFonts w:cs="Garamond" w:ascii="Garamond" w:hAnsi="Garamond"/>
          <w:sz w:val="24"/>
          <w:szCs w:val="24"/>
        </w:rPr>
        <w:t xml:space="preserve">, 1998] и даже, «вполне вероятно», к началу </w:t>
      </w:r>
      <w:r>
        <w:rPr>
          <w:rFonts w:cs="Garamond" w:ascii="Garamond" w:hAnsi="Garamond"/>
          <w:sz w:val="24"/>
          <w:szCs w:val="24"/>
          <w:lang w:val="en-US"/>
        </w:rPr>
        <w:t>IV</w:t>
      </w:r>
      <w:r>
        <w:rPr>
          <w:rFonts w:cs="Garamond" w:ascii="Garamond" w:hAnsi="Garamond"/>
          <w:sz w:val="24"/>
          <w:szCs w:val="24"/>
        </w:rPr>
        <w:t> тыс. до н. э., а также крокодилов, «весьма возможно», предшествовавшие додинастике и частью параллельные «эпипалеолитическим художественным мотивам» (~9000/7000–5000 гг. до н. э.)</w:t>
      </w:r>
      <w:r>
        <w:rPr>
          <w:rStyle w:val="Style14"/>
          <w:rStyle w:val="Style19"/>
          <w:rFonts w:cs="Garamond" w:ascii="Garamond" w:hAnsi="Garamond"/>
          <w:sz w:val="24"/>
          <w:szCs w:val="24"/>
        </w:rPr>
        <w:footnoteReference w:id="28"/>
      </w:r>
      <w:r>
        <w:rPr>
          <w:rFonts w:cs="Garamond" w:ascii="Garamond" w:hAnsi="Garamond"/>
          <w:sz w:val="24"/>
          <w:szCs w:val="24"/>
        </w:rPr>
        <w:t>. «Крокодильи» петроглифы едва ли не усеивают скалы небольших вади в районе Гарб Асуана на левом берегу у подножия 1-го порога; особенно показательно панно Р223–4, так называемый «пляж крокодилов» в водосборе Вади Рамла в полутора-двух километрах от Нила, где рептилии высечены в естественном углублении рядом с широкой трещиной в каменном основании, словно они только что «вылезли из реки» [</w:t>
      </w:r>
      <w:r>
        <w:rPr>
          <w:rFonts w:cs="Garamond" w:ascii="Garamond" w:hAnsi="Garamond"/>
          <w:sz w:val="24"/>
          <w:szCs w:val="24"/>
          <w:lang w:val="en-US"/>
        </w:rPr>
        <w:t>Storemyr</w:t>
      </w:r>
      <w:r>
        <w:rPr>
          <w:rFonts w:cs="Garamond" w:ascii="Garamond" w:hAnsi="Garamond"/>
          <w:sz w:val="24"/>
          <w:szCs w:val="24"/>
        </w:rPr>
        <w:t>, 2009] (</w:t>
      </w:r>
      <w:r>
        <w:rPr>
          <w:rFonts w:cs="Garamond" w:ascii="Garamond" w:hAnsi="Garamond"/>
          <w:i/>
          <w:sz w:val="24"/>
          <w:szCs w:val="24"/>
        </w:rPr>
        <w:t>илл. 2</w:t>
      </w:r>
      <w:r>
        <w:rPr>
          <w:rFonts w:cs="Garamond" w:ascii="Garamond" w:hAnsi="Garamond"/>
          <w:sz w:val="24"/>
          <w:szCs w:val="24"/>
        </w:rPr>
        <w:t>). Первобытные наскальные рисунки влаголюбивых животных в ныне засушливых нильских окрестностях, как и в целом в Сахаре [</w:t>
      </w:r>
      <w:r>
        <w:rPr>
          <w:rFonts w:cs="Garamond" w:ascii="Garamond" w:hAnsi="Garamond"/>
          <w:sz w:val="24"/>
          <w:szCs w:val="24"/>
          <w:lang w:val="en-US"/>
        </w:rPr>
        <w:t>Le</w:t>
      </w:r>
      <w:r>
        <w:rPr>
          <w:rFonts w:cs="Garamond" w:ascii="Garamond" w:hAnsi="Garamond"/>
          <w:sz w:val="24"/>
          <w:szCs w:val="24"/>
        </w:rPr>
        <w:t xml:space="preserve"> </w:t>
      </w:r>
      <w:r>
        <w:rPr>
          <w:rFonts w:cs="Garamond" w:ascii="Garamond" w:hAnsi="Garamond"/>
          <w:sz w:val="24"/>
          <w:szCs w:val="24"/>
          <w:lang w:val="en-US"/>
        </w:rPr>
        <w:t>Quellec</w:t>
      </w:r>
      <w:r>
        <w:rPr>
          <w:rFonts w:cs="Garamond" w:ascii="Garamond" w:hAnsi="Garamond"/>
          <w:sz w:val="24"/>
          <w:szCs w:val="24"/>
        </w:rPr>
        <w:t xml:space="preserve">, 2013; </w:t>
      </w:r>
      <w:r>
        <w:rPr>
          <w:rFonts w:cs="Garamond" w:ascii="Garamond" w:hAnsi="Garamond"/>
          <w:sz w:val="24"/>
          <w:szCs w:val="24"/>
          <w:lang w:val="en-US"/>
        </w:rPr>
        <w:t>Muzzolini</w:t>
      </w:r>
      <w:r>
        <w:rPr>
          <w:rFonts w:cs="Garamond" w:ascii="Garamond" w:hAnsi="Garamond"/>
          <w:sz w:val="24"/>
          <w:szCs w:val="24"/>
        </w:rPr>
        <w:t xml:space="preserve">, 1995], «наглядно» подтверждают фундаментальное палеогеографическое положение о гумидности североафриканских климатов в раннем и среднем голоцене (см.: [Клименко, 2009; </w:t>
      </w:r>
      <w:r>
        <w:rPr>
          <w:rFonts w:cs="Garamond" w:ascii="Garamond" w:hAnsi="Garamond"/>
          <w:iCs/>
          <w:sz w:val="24"/>
          <w:szCs w:val="24"/>
          <w:lang w:val="en-US"/>
        </w:rPr>
        <w:t>Butzer</w:t>
      </w:r>
      <w:r>
        <w:rPr>
          <w:rFonts w:cs="Garamond" w:ascii="Garamond" w:hAnsi="Garamond"/>
          <w:sz w:val="24"/>
          <w:szCs w:val="24"/>
        </w:rPr>
        <w:t xml:space="preserve">, </w:t>
      </w:r>
      <w:r>
        <w:rPr>
          <w:rFonts w:cs="Garamond" w:ascii="Garamond" w:hAnsi="Garamond"/>
          <w:iCs/>
          <w:sz w:val="24"/>
          <w:szCs w:val="24"/>
        </w:rPr>
        <w:t>1958; 1959</w:t>
      </w:r>
      <w:r>
        <w:rPr>
          <w:rFonts w:cs="Garamond" w:ascii="Garamond" w:hAnsi="Garamond"/>
          <w:iCs/>
          <w:sz w:val="24"/>
          <w:szCs w:val="24"/>
          <w:lang w:val="en-US"/>
        </w:rPr>
        <w:t>b</w:t>
      </w:r>
      <w:r>
        <w:rPr>
          <w:rFonts w:cs="Garamond" w:ascii="Garamond" w:hAnsi="Garamond"/>
          <w:sz w:val="24"/>
          <w:szCs w:val="24"/>
        </w:rPr>
        <w:t>]), при этом если жираф напоминает о послеледниковых саванновых ландшафтах на пространствах сегодняшних пустынь, то крокодил, очевидно, еще и о наличии у дельта-Неонила в соответствующих местах притоков или иных водных придатков [Прусаков, 2019б].</w:t>
      </w:r>
    </w:p>
    <w:p>
      <w:pPr>
        <w:pStyle w:val="Normal"/>
        <w:autoSpaceDE w:val="false"/>
        <w:ind w:end="-31" w:firstLine="720"/>
        <w:jc w:val="both"/>
        <w:rPr>
          <w:rFonts w:ascii="Garamond" w:hAnsi="Garamond" w:cs="Garamond"/>
          <w:sz w:val="24"/>
          <w:szCs w:val="24"/>
          <w:lang w:val="en-US"/>
        </w:rPr>
      </w:pPr>
      <w:r>
        <w:rPr>
          <w:rFonts w:cs="Garamond" w:ascii="Garamond" w:hAnsi="Garamond"/>
          <w:sz w:val="24"/>
          <w:szCs w:val="24"/>
        </w:rPr>
        <w:t>Для одного такого места с изображениями «толстотелых» крокодилов возле поселка Эль-Хош на западном берегу Реки в 30 км к югу от Эдфу по компонентам целлюлозной органики (растительным волокнам), содержавшимся в патине петроглифов, была с помощью ускорительного масс-спектрометра установлена «верхняя» радиоуглеродная дата последних: 6690 </w:t>
      </w:r>
      <w:r>
        <w:rPr>
          <w:rFonts w:eastAsia="Symbol" w:cs="Symbol" w:ascii="Symbol" w:hAnsi="Symbol"/>
          <w:sz w:val="24"/>
          <w:szCs w:val="24"/>
        </w:rPr>
        <w:t></w:t>
      </w:r>
      <w:r>
        <w:rPr>
          <w:rFonts w:cs="Garamond" w:ascii="Garamond" w:hAnsi="Garamond"/>
          <w:sz w:val="24"/>
          <w:szCs w:val="24"/>
        </w:rPr>
        <w:t> 270 </w:t>
      </w:r>
      <w:r>
        <w:rPr>
          <w:rFonts w:cs="Garamond" w:ascii="Garamond" w:hAnsi="Garamond"/>
          <w:sz w:val="24"/>
          <w:szCs w:val="24"/>
          <w:vertAlign w:val="superscript"/>
        </w:rPr>
        <w:t>14</w:t>
      </w:r>
      <w:r>
        <w:rPr>
          <w:rFonts w:cs="Garamond" w:ascii="Garamond" w:hAnsi="Garamond"/>
          <w:sz w:val="24"/>
          <w:szCs w:val="24"/>
        </w:rPr>
        <w:t xml:space="preserve">С л. н., в календарном выражении </w:t>
      </w:r>
      <w:r>
        <w:rPr>
          <w:rFonts w:cs="Garamond" w:ascii="Garamond" w:hAnsi="Garamond"/>
          <w:i/>
          <w:sz w:val="24"/>
          <w:szCs w:val="24"/>
          <w:lang w:val="en-US"/>
        </w:rPr>
        <w:t>terminus</w:t>
      </w:r>
      <w:r>
        <w:rPr>
          <w:rFonts w:cs="Garamond" w:ascii="Garamond" w:hAnsi="Garamond"/>
          <w:i/>
          <w:sz w:val="24"/>
          <w:szCs w:val="24"/>
        </w:rPr>
        <w:t xml:space="preserve"> </w:t>
      </w:r>
      <w:r>
        <w:rPr>
          <w:rFonts w:cs="Garamond" w:ascii="Garamond" w:hAnsi="Garamond"/>
          <w:i/>
          <w:sz w:val="24"/>
          <w:szCs w:val="24"/>
          <w:lang w:val="en-US"/>
        </w:rPr>
        <w:t>ante</w:t>
      </w:r>
      <w:r>
        <w:rPr>
          <w:rFonts w:cs="Garamond" w:ascii="Garamond" w:hAnsi="Garamond"/>
          <w:i/>
          <w:sz w:val="24"/>
          <w:szCs w:val="24"/>
        </w:rPr>
        <w:t xml:space="preserve"> </w:t>
      </w:r>
      <w:r>
        <w:rPr>
          <w:rFonts w:cs="Garamond" w:ascii="Garamond" w:hAnsi="Garamond"/>
          <w:i/>
          <w:sz w:val="24"/>
          <w:szCs w:val="24"/>
          <w:lang w:val="en-US"/>
        </w:rPr>
        <w:t>quem</w:t>
      </w:r>
      <w:r>
        <w:rPr>
          <w:rFonts w:cs="Garamond" w:ascii="Garamond" w:hAnsi="Garamond"/>
          <w:sz w:val="24"/>
          <w:szCs w:val="24"/>
        </w:rPr>
        <w:t xml:space="preserve"> 5900/5800–5400/5300 гг. до н. э. [</w:t>
      </w:r>
      <w:r>
        <w:rPr>
          <w:rFonts w:cs="Garamond" w:ascii="Garamond" w:hAnsi="Garamond"/>
          <w:sz w:val="24"/>
          <w:szCs w:val="24"/>
          <w:lang w:val="en-US"/>
        </w:rPr>
        <w:t>Huyge</w:t>
      </w:r>
      <w:r>
        <w:rPr>
          <w:rFonts w:cs="Garamond" w:ascii="Garamond" w:hAnsi="Garamond"/>
          <w:sz w:val="24"/>
          <w:szCs w:val="24"/>
        </w:rPr>
        <w:t xml:space="preserve">, 2005; </w:t>
      </w:r>
      <w:r>
        <w:rPr>
          <w:rFonts w:cs="Garamond" w:ascii="Garamond" w:hAnsi="Garamond"/>
          <w:sz w:val="24"/>
          <w:szCs w:val="24"/>
          <w:lang w:val="en-US"/>
        </w:rPr>
        <w:t>Huyge</w:t>
      </w:r>
      <w:r>
        <w:rPr>
          <w:rFonts w:cs="Garamond" w:ascii="Garamond" w:hAnsi="Garamond"/>
          <w:sz w:val="24"/>
          <w:szCs w:val="24"/>
        </w:rPr>
        <w:t xml:space="preserve"> </w:t>
      </w:r>
      <w:r>
        <w:rPr>
          <w:rFonts w:cs="Garamond" w:ascii="Garamond" w:hAnsi="Garamond"/>
          <w:sz w:val="24"/>
          <w:szCs w:val="24"/>
          <w:lang w:val="en-US"/>
        </w:rPr>
        <w:t>et</w:t>
      </w:r>
      <w:r>
        <w:rPr>
          <w:rFonts w:cs="Garamond" w:ascii="Garamond" w:hAnsi="Garamond"/>
          <w:sz w:val="24"/>
          <w:szCs w:val="24"/>
        </w:rPr>
        <w:t xml:space="preserve"> </w:t>
      </w:r>
      <w:r>
        <w:rPr>
          <w:rFonts w:cs="Garamond" w:ascii="Garamond" w:hAnsi="Garamond"/>
          <w:sz w:val="24"/>
          <w:szCs w:val="24"/>
          <w:lang w:val="en-US"/>
        </w:rPr>
        <w:t>al</w:t>
      </w:r>
      <w:r>
        <w:rPr>
          <w:rFonts w:cs="Garamond" w:ascii="Garamond" w:hAnsi="Garamond"/>
          <w:sz w:val="24"/>
          <w:szCs w:val="24"/>
        </w:rPr>
        <w:t>., 2001]. Этому времени близка начавшаяся ориентировочно 6500 некалибр. л. н. ≈ 5472 г. до н. э.</w:t>
      </w:r>
      <w:r>
        <w:rPr>
          <w:rStyle w:val="Style14"/>
          <w:rStyle w:val="Style19"/>
          <w:rFonts w:cs="Garamond" w:ascii="Garamond" w:hAnsi="Garamond"/>
          <w:sz w:val="24"/>
          <w:szCs w:val="24"/>
        </w:rPr>
        <w:footnoteReference w:id="29"/>
      </w:r>
      <w:r>
        <w:rPr>
          <w:rFonts w:cs="Garamond" w:ascii="Garamond" w:hAnsi="Garamond"/>
          <w:sz w:val="24"/>
          <w:szCs w:val="24"/>
        </w:rPr>
        <w:t xml:space="preserve"> трансгрессия так называемого «Неолитического» Меридова озера в Фаюмском оазисе [</w:t>
      </w:r>
      <w:r>
        <w:rPr>
          <w:rFonts w:cs="Garamond" w:ascii="Garamond" w:hAnsi="Garamond"/>
          <w:sz w:val="24"/>
          <w:szCs w:val="24"/>
          <w:lang w:val="en-US"/>
        </w:rPr>
        <w:t>Hassan</w:t>
      </w:r>
      <w:r>
        <w:rPr>
          <w:rFonts w:cs="Garamond" w:ascii="Garamond" w:hAnsi="Garamond"/>
          <w:sz w:val="24"/>
          <w:szCs w:val="24"/>
        </w:rPr>
        <w:t>, 1986], обусловленная «поступлением масс воды из Нила, принесших с собой группу моллюсковой фауны, типичной для нильской долины» [</w:t>
      </w:r>
      <w:r>
        <w:rPr>
          <w:rFonts w:cs="Garamond" w:ascii="Garamond" w:hAnsi="Garamond"/>
          <w:sz w:val="24"/>
          <w:szCs w:val="24"/>
          <w:lang w:val="en-US"/>
        </w:rPr>
        <w:t>Kozlowski</w:t>
      </w:r>
      <w:r>
        <w:rPr>
          <w:rFonts w:cs="Garamond" w:ascii="Garamond" w:hAnsi="Garamond"/>
          <w:sz w:val="24"/>
          <w:szCs w:val="24"/>
        </w:rPr>
        <w:t xml:space="preserve">, </w:t>
      </w:r>
      <w:r>
        <w:rPr>
          <w:rFonts w:cs="Garamond" w:ascii="Garamond" w:hAnsi="Garamond"/>
          <w:sz w:val="24"/>
          <w:szCs w:val="24"/>
          <w:lang w:val="en-US"/>
        </w:rPr>
        <w:t>Ginter</w:t>
      </w:r>
      <w:r>
        <w:rPr>
          <w:rFonts w:cs="Garamond" w:ascii="Garamond" w:hAnsi="Garamond"/>
          <w:sz w:val="24"/>
          <w:szCs w:val="24"/>
        </w:rPr>
        <w:t>, 1993]. Подобные данные, указывающие на высочайшую полноводность Главного Нила на том этапе, могут служить аргументом в пользу как уже весьма значительной, если не максимальной, развитости гипотетического «голоценового моря» в Среднем Египте [Прусаков, 2018а; 2018б], так и экстремального уровня подпруженной им Реки вверх по течению, с ее пропорциональным региональной геоморфологии растеканием за пределами современных береговых линий.</w:t>
      </w:r>
      <w:r>
        <mc:AlternateContent>
          <mc:Choice Requires="wps">
            <w:drawing>
              <wp:anchor behindDoc="0" distT="0" distB="0" distL="114300" distR="0" simplePos="0" locked="0" layoutInCell="1" allowOverlap="1" relativeHeight="3">
                <wp:simplePos x="0" y="0"/>
                <wp:positionH relativeFrom="margin">
                  <wp:align>right</wp:align>
                </wp:positionH>
                <wp:positionV relativeFrom="page">
                  <wp:posOffset>2435225</wp:posOffset>
                </wp:positionV>
                <wp:extent cx="2710180" cy="3128645"/>
                <wp:effectExtent l="0" t="0" r="0" b="0"/>
                <wp:wrapSquare wrapText="bothSides"/>
                <wp:docPr id="3" name="Врезка1"/>
                <a:graphic xmlns:a="http://schemas.openxmlformats.org/drawingml/2006/main">
                  <a:graphicData uri="http://schemas.microsoft.com/office/word/2010/wordprocessingShape">
                    <wps:wsp>
                      <wps:cNvSpPr txBox="1"/>
                      <wps:spPr>
                        <a:xfrm>
                          <a:off x="0" y="0"/>
                          <a:ext cx="2710180" cy="3128645"/>
                        </a:xfrm>
                        <a:prstGeom prst="rect"/>
                        <a:solidFill>
                          <a:srgbClr val="FFFFFF">
                            <a:alpha val="0"/>
                          </a:srgbClr>
                        </a:solidFill>
                      </wps:spPr>
                      <wps:txbx>
                        <w:txbxContent>
                          <w:tbl>
                            <w:tblPr>
                              <w:tblW w:w="4268" w:type="dxa"/>
                              <w:jc w:val="start"/>
                              <w:tblInd w:w="0" w:type="dxa"/>
                              <w:tblBorders/>
                              <w:tblCellMar>
                                <w:top w:w="0" w:type="dxa"/>
                                <w:start w:w="108" w:type="dxa"/>
                                <w:bottom w:w="0" w:type="dxa"/>
                                <w:end w:w="108" w:type="dxa"/>
                              </w:tblCellMar>
                            </w:tblPr>
                            <w:tblGrid>
                              <w:gridCol w:w="4268"/>
                            </w:tblGrid>
                            <w:tr>
                              <w:trPr/>
                              <w:tc>
                                <w:tcPr>
                                  <w:tcW w:w="4268" w:type="dxa"/>
                                  <w:tcBorders/>
                                  <w:shd w:fill="auto" w:val="clear"/>
                                </w:tcPr>
                                <w:p>
                                  <w:pPr>
                                    <w:pStyle w:val="Normal"/>
                                    <w:autoSpaceDE w:val="false"/>
                                    <w:ind w:end="-31" w:hanging="0"/>
                                    <w:jc w:val="center"/>
                                    <w:rPr>
                                      <w:rFonts w:ascii="Garamond" w:hAnsi="Garamond" w:cs="Garamond"/>
                                      <w:sz w:val="22"/>
                                      <w:szCs w:val="22"/>
                                      <w:lang w:val="en-US"/>
                                    </w:rPr>
                                  </w:pPr>
                                  <w:r>
                                    <w:rPr>
                                      <w:rFonts w:cs="Garamond" w:ascii="Garamond" w:hAnsi="Garamond"/>
                                      <w:sz w:val="22"/>
                                      <w:szCs w:val="22"/>
                                      <w:lang w:val="en-US"/>
                                    </w:rPr>
                                    <w:drawing>
                                      <wp:inline distT="0" distB="0" distL="0" distR="0">
                                        <wp:extent cx="2592070" cy="2360295"/>
                                        <wp:effectExtent l="0" t="0" r="0" b="0"/>
                                        <wp:docPr id="4"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descr="" title=""/>
                                                <pic:cNvPicPr>
                                                  <a:picLocks noChangeAspect="1" noChangeArrowheads="1"/>
                                                </pic:cNvPicPr>
                                              </pic:nvPicPr>
                                              <pic:blipFill>
                                                <a:blip r:embed="rId4"/>
                                                <a:srcRect l="-1" t="-4493" r="-1" b="-1"/>
                                                <a:stretch>
                                                  <a:fillRect/>
                                                </a:stretch>
                                              </pic:blipFill>
                                              <pic:spPr bwMode="auto">
                                                <a:xfrm>
                                                  <a:off x="0" y="0"/>
                                                  <a:ext cx="2592070" cy="2360295"/>
                                                </a:xfrm>
                                                <a:prstGeom prst="rect">
                                                  <a:avLst/>
                                                </a:prstGeom>
                                              </pic:spPr>
                                            </pic:pic>
                                          </a:graphicData>
                                        </a:graphic>
                                      </wp:inline>
                                    </w:drawing>
                                  </w:r>
                                </w:p>
                                <w:p>
                                  <w:pPr>
                                    <w:pStyle w:val="Normal"/>
                                    <w:autoSpaceDE w:val="false"/>
                                    <w:ind w:end="-31" w:hanging="0"/>
                                    <w:jc w:val="center"/>
                                    <w:rPr/>
                                  </w:pPr>
                                  <w:r>
                                    <w:rPr>
                                      <w:rFonts w:cs="Garamond" w:ascii="Garamond" w:hAnsi="Garamond"/>
                                      <w:i/>
                                      <w:sz w:val="22"/>
                                      <w:szCs w:val="22"/>
                                    </w:rPr>
                                    <w:t>Илл. 2.</w:t>
                                  </w:r>
                                  <w:r>
                                    <w:rPr>
                                      <w:rFonts w:cs="Garamond" w:ascii="Garamond" w:hAnsi="Garamond"/>
                                      <w:sz w:val="22"/>
                                      <w:szCs w:val="22"/>
                                    </w:rPr>
                                    <w:t xml:space="preserve"> «Пляж крокодилов». Петроглифы в</w:t>
                                  </w:r>
                                  <w:r>
                                    <w:rPr>
                                      <w:rFonts w:cs="Garamond" w:ascii="Garamond" w:hAnsi="Garamond"/>
                                      <w:sz w:val="22"/>
                                      <w:szCs w:val="22"/>
                                      <w:lang w:val="en-US"/>
                                    </w:rPr>
                                    <w:t> </w:t>
                                  </w:r>
                                  <w:r>
                                    <w:rPr>
                                      <w:rFonts w:cs="Garamond" w:ascii="Garamond" w:hAnsi="Garamond"/>
                                      <w:sz w:val="22"/>
                                      <w:szCs w:val="22"/>
                                    </w:rPr>
                                    <w:t>водосборе Вади Рамла, Верхний Египет (по: [</w:t>
                                  </w:r>
                                  <w:r>
                                    <w:rPr>
                                      <w:rFonts w:cs="Garamond" w:ascii="Garamond" w:hAnsi="Garamond"/>
                                      <w:sz w:val="22"/>
                                      <w:szCs w:val="22"/>
                                      <w:lang w:val="en-US"/>
                                    </w:rPr>
                                    <w:t>Storemyr</w:t>
                                  </w:r>
                                  <w:r>
                                    <w:rPr>
                                      <w:rFonts w:cs="Garamond" w:ascii="Garamond" w:hAnsi="Garamond"/>
                                      <w:sz w:val="22"/>
                                      <w:szCs w:val="22"/>
                                    </w:rPr>
                                    <w:t xml:space="preserve">, 2009, </w:t>
                                  </w:r>
                                  <w:r>
                                    <w:rPr>
                                      <w:rFonts w:cs="Garamond" w:ascii="Garamond" w:hAnsi="Garamond"/>
                                      <w:sz w:val="22"/>
                                      <w:szCs w:val="22"/>
                                      <w:lang w:val="en-US"/>
                                    </w:rPr>
                                    <w:t>fig</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16])</w:t>
                                  </w:r>
                                </w:p>
                                <w:p>
                                  <w:pPr>
                                    <w:pStyle w:val="Normal"/>
                                    <w:autoSpaceDE w:val="false"/>
                                    <w:ind w:end="-31" w:hanging="0"/>
                                    <w:jc w:val="center"/>
                                    <w:rPr>
                                      <w:rFonts w:ascii="Garamond" w:hAnsi="Garamond" w:cs="Garamond"/>
                                      <w:sz w:val="16"/>
                                      <w:szCs w:val="16"/>
                                    </w:rPr>
                                  </w:pPr>
                                  <w:r>
                                    <w:rPr>
                                      <w:rFonts w:cs="Garamond" w:ascii="Garamond" w:hAnsi="Garamond"/>
                                      <w:sz w:val="16"/>
                                      <w:szCs w:val="16"/>
                                    </w:rPr>
                                  </w:r>
                                </w:p>
                              </w:tc>
                            </w:tr>
                          </w:tbl>
                        </w:txbxContent>
                      </wps:txbx>
                      <wps:bodyPr anchor="t" lIns="0" tIns="0" rIns="0" bIns="0">
                        <a:noAutofit/>
                      </wps:bodyPr>
                    </wps:wsp>
                  </a:graphicData>
                </a:graphic>
              </wp:anchor>
            </w:drawing>
          </mc:Choice>
          <mc:Fallback>
            <w:pict>
              <v:rect fillcolor="#FFFFFF" style="position:absolute;rotation:0;width:213.4pt;height:246.35pt;mso-wrap-distance-left:9pt;mso-wrap-distance-right:0pt;mso-wrap-distance-top:0pt;mso-wrap-distance-bottom:0pt;margin-top:191.75pt;mso-position-vertical-relative:page;margin-left:226.05pt;mso-position-horizontal:right;mso-position-horizontal-relative:margin">
                <v:fill opacity="0f"/>
                <v:textbox>
                  <w:txbxContent>
                    <w:tbl>
                      <w:tblPr>
                        <w:tblW w:w="4268" w:type="dxa"/>
                        <w:jc w:val="start"/>
                        <w:tblInd w:w="0" w:type="dxa"/>
                        <w:tblBorders/>
                        <w:tblCellMar>
                          <w:top w:w="0" w:type="dxa"/>
                          <w:start w:w="108" w:type="dxa"/>
                          <w:bottom w:w="0" w:type="dxa"/>
                          <w:end w:w="108" w:type="dxa"/>
                        </w:tblCellMar>
                      </w:tblPr>
                      <w:tblGrid>
                        <w:gridCol w:w="4268"/>
                      </w:tblGrid>
                      <w:tr>
                        <w:trPr/>
                        <w:tc>
                          <w:tcPr>
                            <w:tcW w:w="4268" w:type="dxa"/>
                            <w:tcBorders/>
                            <w:shd w:fill="auto" w:val="clear"/>
                          </w:tcPr>
                          <w:p>
                            <w:pPr>
                              <w:pStyle w:val="Normal"/>
                              <w:autoSpaceDE w:val="false"/>
                              <w:ind w:end="-31" w:hanging="0"/>
                              <w:jc w:val="center"/>
                              <w:rPr>
                                <w:rFonts w:ascii="Garamond" w:hAnsi="Garamond" w:cs="Garamond"/>
                                <w:sz w:val="22"/>
                                <w:szCs w:val="22"/>
                                <w:lang w:val="en-US"/>
                              </w:rPr>
                            </w:pPr>
                            <w:r>
                              <w:rPr>
                                <w:rFonts w:cs="Garamond" w:ascii="Garamond" w:hAnsi="Garamond"/>
                                <w:sz w:val="22"/>
                                <w:szCs w:val="22"/>
                                <w:lang w:val="en-US"/>
                              </w:rPr>
                              <w:drawing>
                                <wp:inline distT="0" distB="0" distL="0" distR="0">
                                  <wp:extent cx="2592070" cy="2360295"/>
                                  <wp:effectExtent l="0" t="0" r="0" b="0"/>
                                  <wp:docPr id="5"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descr="" title=""/>
                                          <pic:cNvPicPr>
                                            <a:picLocks noChangeAspect="1" noChangeArrowheads="1"/>
                                          </pic:cNvPicPr>
                                        </pic:nvPicPr>
                                        <pic:blipFill>
                                          <a:blip r:embed="rId4"/>
                                          <a:srcRect l="-1" t="-4493" r="-1" b="-1"/>
                                          <a:stretch>
                                            <a:fillRect/>
                                          </a:stretch>
                                        </pic:blipFill>
                                        <pic:spPr bwMode="auto">
                                          <a:xfrm>
                                            <a:off x="0" y="0"/>
                                            <a:ext cx="2592070" cy="2360295"/>
                                          </a:xfrm>
                                          <a:prstGeom prst="rect">
                                            <a:avLst/>
                                          </a:prstGeom>
                                        </pic:spPr>
                                      </pic:pic>
                                    </a:graphicData>
                                  </a:graphic>
                                </wp:inline>
                              </w:drawing>
                            </w:r>
                          </w:p>
                          <w:p>
                            <w:pPr>
                              <w:pStyle w:val="Normal"/>
                              <w:autoSpaceDE w:val="false"/>
                              <w:ind w:end="-31" w:hanging="0"/>
                              <w:jc w:val="center"/>
                              <w:rPr/>
                            </w:pPr>
                            <w:r>
                              <w:rPr>
                                <w:rFonts w:cs="Garamond" w:ascii="Garamond" w:hAnsi="Garamond"/>
                                <w:i/>
                                <w:sz w:val="22"/>
                                <w:szCs w:val="22"/>
                              </w:rPr>
                              <w:t>Илл. 2.</w:t>
                            </w:r>
                            <w:r>
                              <w:rPr>
                                <w:rFonts w:cs="Garamond" w:ascii="Garamond" w:hAnsi="Garamond"/>
                                <w:sz w:val="22"/>
                                <w:szCs w:val="22"/>
                              </w:rPr>
                              <w:t xml:space="preserve"> «Пляж крокодилов». Петроглифы в</w:t>
                            </w:r>
                            <w:r>
                              <w:rPr>
                                <w:rFonts w:cs="Garamond" w:ascii="Garamond" w:hAnsi="Garamond"/>
                                <w:sz w:val="22"/>
                                <w:szCs w:val="22"/>
                                <w:lang w:val="en-US"/>
                              </w:rPr>
                              <w:t> </w:t>
                            </w:r>
                            <w:r>
                              <w:rPr>
                                <w:rFonts w:cs="Garamond" w:ascii="Garamond" w:hAnsi="Garamond"/>
                                <w:sz w:val="22"/>
                                <w:szCs w:val="22"/>
                              </w:rPr>
                              <w:t>водосборе Вади Рамла, Верхний Египет (по: [</w:t>
                            </w:r>
                            <w:r>
                              <w:rPr>
                                <w:rFonts w:cs="Garamond" w:ascii="Garamond" w:hAnsi="Garamond"/>
                                <w:sz w:val="22"/>
                                <w:szCs w:val="22"/>
                                <w:lang w:val="en-US"/>
                              </w:rPr>
                              <w:t>Storemyr</w:t>
                            </w:r>
                            <w:r>
                              <w:rPr>
                                <w:rFonts w:cs="Garamond" w:ascii="Garamond" w:hAnsi="Garamond"/>
                                <w:sz w:val="22"/>
                                <w:szCs w:val="22"/>
                              </w:rPr>
                              <w:t xml:space="preserve">, 2009, </w:t>
                            </w:r>
                            <w:r>
                              <w:rPr>
                                <w:rFonts w:cs="Garamond" w:ascii="Garamond" w:hAnsi="Garamond"/>
                                <w:sz w:val="22"/>
                                <w:szCs w:val="22"/>
                                <w:lang w:val="en-US"/>
                              </w:rPr>
                              <w:t>fig</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16])</w:t>
                            </w:r>
                          </w:p>
                          <w:p>
                            <w:pPr>
                              <w:pStyle w:val="Normal"/>
                              <w:autoSpaceDE w:val="false"/>
                              <w:ind w:end="-31" w:hanging="0"/>
                              <w:jc w:val="center"/>
                              <w:rPr>
                                <w:rFonts w:ascii="Garamond" w:hAnsi="Garamond" w:cs="Garamond"/>
                                <w:sz w:val="16"/>
                                <w:szCs w:val="16"/>
                              </w:rPr>
                            </w:pPr>
                            <w:r>
                              <w:rPr>
                                <w:rFonts w:cs="Garamond" w:ascii="Garamond" w:hAnsi="Garamond"/>
                                <w:sz w:val="16"/>
                                <w:szCs w:val="16"/>
                              </w:rPr>
                            </w:r>
                          </w:p>
                        </w:tc>
                      </w:tr>
                    </w:tbl>
                  </w:txbxContent>
                </v:textbox>
                <w10:wrap type="square"/>
              </v:rect>
            </w:pict>
          </mc:Fallback>
        </mc:AlternateContent>
      </w:r>
    </w:p>
    <w:p>
      <w:pPr>
        <w:pStyle w:val="Normal"/>
        <w:autoSpaceDE w:val="false"/>
        <w:ind w:end="-31" w:firstLine="720"/>
        <w:jc w:val="center"/>
        <w:rPr>
          <w:rFonts w:ascii="Garamond" w:hAnsi="Garamond" w:cs="Garamond"/>
          <w:sz w:val="16"/>
          <w:szCs w:val="16"/>
          <w:lang w:val="en-US"/>
        </w:rPr>
      </w:pPr>
      <w:r>
        <w:rPr>
          <w:rFonts w:cs="Garamond" w:ascii="Garamond" w:hAnsi="Garamond"/>
          <w:sz w:val="16"/>
          <w:szCs w:val="16"/>
          <w:lang w:val="en-US"/>
        </w:rPr>
      </w:r>
    </w:p>
    <w:p>
      <w:pPr>
        <w:pStyle w:val="Normal"/>
        <w:autoSpaceDE w:val="false"/>
        <w:ind w:end="-31" w:hanging="0"/>
        <w:jc w:val="center"/>
        <w:rPr>
          <w:rFonts w:ascii="Garamond" w:hAnsi="Garamond" w:cs="Garamond"/>
          <w:sz w:val="22"/>
          <w:szCs w:val="22"/>
          <w:lang w:val="en-US"/>
        </w:rPr>
      </w:pPr>
      <w:r>
        <w:rPr>
          <w:rFonts w:cs="Garamond" w:ascii="Garamond" w:hAnsi="Garamond"/>
          <w:sz w:val="22"/>
          <w:szCs w:val="22"/>
          <w:lang w:val="en-US"/>
        </w:rPr>
        <w:drawing>
          <wp:inline distT="0" distB="0" distL="0" distR="0">
            <wp:extent cx="5369560" cy="4821555"/>
            <wp:effectExtent l="0" t="0" r="0" b="0"/>
            <wp:docPr id="6"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descr="" title=""/>
                    <pic:cNvPicPr>
                      <a:picLocks noChangeAspect="1" noChangeArrowheads="1"/>
                    </pic:cNvPicPr>
                  </pic:nvPicPr>
                  <pic:blipFill>
                    <a:blip r:embed="rId5"/>
                    <a:srcRect l="-1" t="-1" r="-1" b="-1"/>
                    <a:stretch>
                      <a:fillRect/>
                    </a:stretch>
                  </pic:blipFill>
                  <pic:spPr bwMode="auto">
                    <a:xfrm>
                      <a:off x="0" y="0"/>
                      <a:ext cx="5369560" cy="4821555"/>
                    </a:xfrm>
                    <a:prstGeom prst="rect">
                      <a:avLst/>
                    </a:prstGeom>
                  </pic:spPr>
                </pic:pic>
              </a:graphicData>
            </a:graphic>
          </wp:inline>
        </w:drawing>
      </w:r>
    </w:p>
    <w:p>
      <w:pPr>
        <w:pStyle w:val="Normal"/>
        <w:ind w:end="-31" w:hanging="0"/>
        <w:jc w:val="center"/>
        <w:rPr>
          <w:rFonts w:ascii="Garamond" w:hAnsi="Garamond" w:cs="Garamond"/>
          <w:sz w:val="22"/>
          <w:szCs w:val="22"/>
          <w:lang w:val="en-US"/>
        </w:rPr>
      </w:pPr>
      <w:r>
        <w:rPr>
          <w:rFonts w:cs="Garamond" w:ascii="Garamond" w:hAnsi="Garamond"/>
          <w:i/>
          <w:sz w:val="22"/>
          <w:szCs w:val="22"/>
        </w:rPr>
        <w:t>Илл. 3.</w:t>
      </w:r>
      <w:r>
        <w:rPr>
          <w:rFonts w:cs="Garamond" w:ascii="Garamond" w:hAnsi="Garamond"/>
          <w:sz w:val="22"/>
          <w:szCs w:val="22"/>
        </w:rPr>
        <w:t xml:space="preserve"> Местоположения петроглифов Гарб Асуана (по: [</w:t>
      </w:r>
      <w:r>
        <w:rPr>
          <w:rFonts w:cs="Garamond" w:ascii="Garamond" w:hAnsi="Garamond"/>
          <w:sz w:val="22"/>
          <w:szCs w:val="22"/>
          <w:lang w:val="en-US"/>
        </w:rPr>
        <w:t>Storemyr</w:t>
      </w:r>
      <w:r>
        <w:rPr>
          <w:rFonts w:cs="Garamond" w:ascii="Garamond" w:hAnsi="Garamond"/>
          <w:sz w:val="22"/>
          <w:szCs w:val="22"/>
        </w:rPr>
        <w:t xml:space="preserve">, 2009, </w:t>
      </w:r>
      <w:r>
        <w:rPr>
          <w:rFonts w:cs="Garamond" w:ascii="Garamond" w:hAnsi="Garamond"/>
          <w:sz w:val="22"/>
          <w:szCs w:val="22"/>
          <w:lang w:val="en-US"/>
        </w:rPr>
        <w:t>fig</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21])</w:t>
      </w:r>
    </w:p>
    <w:p>
      <w:pPr>
        <w:pStyle w:val="Normal"/>
        <w:ind w:end="-31" w:hanging="0"/>
        <w:jc w:val="center"/>
        <w:rPr>
          <w:rFonts w:ascii="Garamond" w:hAnsi="Garamond" w:cs="Garamond"/>
          <w:sz w:val="16"/>
          <w:szCs w:val="16"/>
          <w:lang w:val="en-US"/>
        </w:rPr>
      </w:pPr>
      <w:r>
        <w:rPr>
          <w:rFonts w:cs="Garamond" w:ascii="Garamond" w:hAnsi="Garamond"/>
          <w:sz w:val="16"/>
          <w:szCs w:val="16"/>
          <w:lang w:val="en-US"/>
        </w:rPr>
      </w:r>
    </w:p>
    <w:p>
      <w:pPr>
        <w:pStyle w:val="Normal"/>
        <w:autoSpaceDE w:val="false"/>
        <w:ind w:end="-31" w:firstLine="720"/>
        <w:jc w:val="both"/>
        <w:rPr>
          <w:rFonts w:ascii="Garamond" w:hAnsi="Garamond" w:cs="Garamond"/>
          <w:sz w:val="24"/>
          <w:szCs w:val="24"/>
          <w:lang w:val="en-US"/>
        </w:rPr>
      </w:pPr>
      <w:r>
        <w:rPr>
          <w:rFonts w:cs="Garamond" w:ascii="Garamond" w:hAnsi="Garamond"/>
          <w:sz w:val="24"/>
          <w:szCs w:val="24"/>
        </w:rPr>
        <w:t>В этой связи привлекает внимание расположение древнейших петроглифов в доступном для полевого исследования районе Гарб Асуана (</w:t>
      </w:r>
      <w:r>
        <w:rPr>
          <w:rFonts w:cs="Garamond" w:ascii="Garamond" w:hAnsi="Garamond"/>
          <w:i/>
          <w:sz w:val="24"/>
          <w:szCs w:val="24"/>
        </w:rPr>
        <w:t>илл. 3</w:t>
      </w:r>
      <w:r>
        <w:rPr>
          <w:rFonts w:cs="Garamond" w:ascii="Garamond" w:hAnsi="Garamond"/>
          <w:sz w:val="24"/>
          <w:szCs w:val="24"/>
        </w:rPr>
        <w:t>): совместив на общем плане имеющиеся археологические отметки их «кластеров» периода от эпипалеолита до архаики, мы увидим, что основные (фиксирующие наибольшие скопления рисунков) пунсоны образуют кривую, которая повторяет изгиб прилегающего отрезка нильского русла (</w:t>
      </w:r>
      <w:r>
        <w:rPr>
          <w:rFonts w:cs="Garamond" w:ascii="Garamond" w:hAnsi="Garamond"/>
          <w:i/>
          <w:sz w:val="24"/>
          <w:szCs w:val="24"/>
        </w:rPr>
        <w:t>илл. 4</w:t>
      </w:r>
      <w:r>
        <w:rPr>
          <w:rFonts w:cs="Garamond" w:ascii="Garamond" w:hAnsi="Garamond"/>
          <w:sz w:val="24"/>
          <w:szCs w:val="24"/>
        </w:rPr>
        <w:t>). Для сравнения, именно такую конфигурацию, наблюдаемую, например, в центральном сегменте озера Насер, очерчивают вершины заливов в затопленных Нилом окрестных вади (</w:t>
      </w:r>
      <w:r>
        <w:rPr>
          <w:rFonts w:cs="Garamond" w:ascii="Garamond" w:hAnsi="Garamond"/>
          <w:i/>
          <w:sz w:val="24"/>
          <w:szCs w:val="24"/>
        </w:rPr>
        <w:t>илл. 5–6</w:t>
      </w:r>
      <w:r>
        <w:rPr>
          <w:rFonts w:cs="Garamond" w:ascii="Garamond" w:hAnsi="Garamond"/>
          <w:sz w:val="24"/>
          <w:szCs w:val="24"/>
        </w:rPr>
        <w:t>). Мысленно перенося эту гидрографическую картину на верхнеегипетский водосбор Нила в среднем голоцене, сошлюсь еще и на тот до сих пор не получивший единого научного толкования факт (см.: [Прусаков, 2015]), что доисторические наскальные рисунки в сухих вади южного Верхнего Египта по обеим сторонам Реки включают, как одни из важнейших, довольно многочисленные изображения крупных лодок [Č</w:t>
      </w:r>
      <w:r>
        <w:rPr>
          <w:rFonts w:cs="Garamond" w:ascii="Garamond" w:hAnsi="Garamond"/>
          <w:sz w:val="24"/>
          <w:szCs w:val="24"/>
          <w:lang w:val="en-US"/>
        </w:rPr>
        <w:t>ervi</w:t>
      </w:r>
      <w:r>
        <w:rPr>
          <w:rFonts w:cs="Garamond" w:ascii="Garamond" w:hAnsi="Garamond"/>
          <w:sz w:val="24"/>
          <w:szCs w:val="24"/>
        </w:rPr>
        <w:t>č</w:t>
      </w:r>
      <w:r>
        <w:rPr>
          <w:rFonts w:cs="Garamond" w:ascii="Garamond" w:hAnsi="Garamond"/>
          <w:sz w:val="24"/>
          <w:szCs w:val="24"/>
          <w:lang w:val="en-US"/>
        </w:rPr>
        <w:t>ek</w:t>
      </w:r>
      <w:r>
        <w:rPr>
          <w:rFonts w:cs="Garamond" w:ascii="Garamond" w:hAnsi="Garamond"/>
          <w:sz w:val="24"/>
          <w:szCs w:val="24"/>
        </w:rPr>
        <w:t xml:space="preserve">, 1986; </w:t>
      </w:r>
      <w:r>
        <w:rPr>
          <w:rFonts w:cs="Garamond" w:ascii="Garamond" w:hAnsi="Garamond"/>
          <w:sz w:val="24"/>
          <w:szCs w:val="24"/>
          <w:lang w:val="en-US"/>
        </w:rPr>
        <w:t>Winkler</w:t>
      </w:r>
      <w:r>
        <w:rPr>
          <w:rFonts w:cs="Garamond" w:ascii="Garamond" w:hAnsi="Garamond"/>
          <w:sz w:val="24"/>
          <w:szCs w:val="24"/>
        </w:rPr>
        <w:t>, 1938; 1939].</w:t>
      </w:r>
    </w:p>
    <w:p>
      <w:pPr>
        <w:pStyle w:val="Normal"/>
        <w:ind w:end="-31" w:hanging="0"/>
        <w:jc w:val="center"/>
        <w:rPr>
          <w:rFonts w:ascii="Garamond" w:hAnsi="Garamond" w:cs="Garamond"/>
          <w:sz w:val="22"/>
          <w:szCs w:val="22"/>
          <w:lang w:val="en-US"/>
        </w:rPr>
      </w:pPr>
      <w:r>
        <w:rPr>
          <w:rFonts w:cs="Garamond" w:ascii="Garamond" w:hAnsi="Garamond"/>
          <w:sz w:val="22"/>
          <w:szCs w:val="22"/>
          <w:lang w:val="en-US"/>
        </w:rPr>
        <w:drawing>
          <wp:inline distT="0" distB="0" distL="0" distR="0">
            <wp:extent cx="5480050" cy="5501005"/>
            <wp:effectExtent l="0" t="0" r="0" b="0"/>
            <wp:docPr id="7"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4" descr="" title=""/>
                    <pic:cNvPicPr>
                      <a:picLocks noChangeAspect="1" noChangeArrowheads="1"/>
                    </pic:cNvPicPr>
                  </pic:nvPicPr>
                  <pic:blipFill>
                    <a:blip r:embed="rId6"/>
                    <a:srcRect l="-1" t="-1" r="-1" b="-1"/>
                    <a:stretch>
                      <a:fillRect/>
                    </a:stretch>
                  </pic:blipFill>
                  <pic:spPr bwMode="auto">
                    <a:xfrm>
                      <a:off x="0" y="0"/>
                      <a:ext cx="5480050" cy="5501005"/>
                    </a:xfrm>
                    <a:prstGeom prst="rect">
                      <a:avLst/>
                    </a:prstGeom>
                  </pic:spPr>
                </pic:pic>
              </a:graphicData>
            </a:graphic>
          </wp:inline>
        </w:drawing>
      </w:r>
    </w:p>
    <w:p>
      <w:pPr>
        <w:pStyle w:val="Normal"/>
        <w:autoSpaceDE w:val="false"/>
        <w:ind w:end="-31" w:hanging="0"/>
        <w:jc w:val="center"/>
        <w:rPr>
          <w:rFonts w:ascii="Garamond" w:hAnsi="Garamond" w:cs="Garamond"/>
          <w:sz w:val="24"/>
          <w:szCs w:val="24"/>
          <w:lang w:val="en-US"/>
        </w:rPr>
      </w:pPr>
      <w:r>
        <w:rPr>
          <w:rFonts w:cs="Garamond" w:ascii="Garamond" w:hAnsi="Garamond"/>
          <w:i/>
          <w:sz w:val="22"/>
          <w:szCs w:val="22"/>
        </w:rPr>
        <w:t>Илл. 4.</w:t>
      </w:r>
      <w:r>
        <w:rPr>
          <w:rFonts w:cs="Garamond" w:ascii="Garamond" w:hAnsi="Garamond"/>
          <w:sz w:val="22"/>
          <w:szCs w:val="22"/>
        </w:rPr>
        <w:t xml:space="preserve"> Местоположения петроглифов Гарб Асуана до «неолитического спада» Нила (</w:t>
      </w:r>
      <w:r>
        <w:rPr>
          <w:rFonts w:cs="Garamond" w:ascii="Garamond" w:hAnsi="Garamond"/>
          <w:i/>
          <w:sz w:val="22"/>
          <w:szCs w:val="22"/>
        </w:rPr>
        <w:t>рис.</w:t>
      </w:r>
      <w:r>
        <w:rPr>
          <w:rFonts w:cs="Garamond" w:ascii="Garamond" w:hAnsi="Garamond"/>
          <w:i/>
          <w:sz w:val="22"/>
          <w:szCs w:val="22"/>
          <w:lang w:val="en-US"/>
        </w:rPr>
        <w:t> </w:t>
      </w:r>
      <w:r>
        <w:rPr>
          <w:rFonts w:cs="Garamond" w:ascii="Garamond" w:hAnsi="Garamond"/>
          <w:i/>
          <w:sz w:val="22"/>
          <w:szCs w:val="22"/>
        </w:rPr>
        <w:t>С.</w:t>
      </w:r>
      <w:r>
        <w:rPr>
          <w:rFonts w:cs="Garamond" w:ascii="Garamond" w:hAnsi="Garamond"/>
          <w:i/>
          <w:sz w:val="22"/>
          <w:szCs w:val="22"/>
          <w:lang w:val="en-US"/>
        </w:rPr>
        <w:t> </w:t>
      </w:r>
      <w:r>
        <w:rPr>
          <w:rFonts w:cs="Garamond" w:ascii="Garamond" w:hAnsi="Garamond"/>
          <w:i/>
          <w:sz w:val="22"/>
          <w:szCs w:val="22"/>
        </w:rPr>
        <w:t>В.</w:t>
      </w:r>
      <w:r>
        <w:rPr>
          <w:rFonts w:cs="Garamond" w:ascii="Garamond" w:hAnsi="Garamond"/>
          <w:i/>
          <w:sz w:val="22"/>
          <w:szCs w:val="22"/>
          <w:lang w:val="en-US"/>
        </w:rPr>
        <w:t> </w:t>
      </w:r>
      <w:r>
        <w:rPr>
          <w:rFonts w:cs="Garamond" w:ascii="Garamond" w:hAnsi="Garamond"/>
          <w:i/>
          <w:sz w:val="22"/>
          <w:szCs w:val="22"/>
        </w:rPr>
        <w:t xml:space="preserve">Ветохова </w:t>
      </w:r>
      <w:r>
        <w:rPr>
          <w:rFonts w:cs="Garamond" w:ascii="Garamond" w:hAnsi="Garamond"/>
          <w:sz w:val="22"/>
          <w:szCs w:val="22"/>
        </w:rPr>
        <w:t>по: [</w:t>
      </w:r>
      <w:r>
        <w:rPr>
          <w:rFonts w:cs="Garamond" w:ascii="Garamond" w:hAnsi="Garamond"/>
          <w:sz w:val="22"/>
          <w:szCs w:val="22"/>
          <w:lang w:val="en-US"/>
        </w:rPr>
        <w:t>Storemyr</w:t>
      </w:r>
      <w:r>
        <w:rPr>
          <w:rFonts w:cs="Garamond" w:ascii="Garamond" w:hAnsi="Garamond"/>
          <w:sz w:val="22"/>
          <w:szCs w:val="22"/>
        </w:rPr>
        <w:t xml:space="preserve">, 2009, </w:t>
      </w:r>
      <w:r>
        <w:rPr>
          <w:rFonts w:cs="Garamond" w:ascii="Garamond" w:hAnsi="Garamond"/>
          <w:sz w:val="22"/>
          <w:szCs w:val="22"/>
          <w:lang w:val="en-US"/>
        </w:rPr>
        <w:t>fig</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21])</w:t>
      </w:r>
    </w:p>
    <w:p>
      <w:pPr>
        <w:pStyle w:val="Normal"/>
        <w:autoSpaceDE w:val="false"/>
        <w:ind w:end="-31" w:hanging="0"/>
        <w:jc w:val="both"/>
        <w:rPr>
          <w:rFonts w:ascii="Garamond" w:hAnsi="Garamond" w:cs="Garamond"/>
          <w:sz w:val="16"/>
          <w:szCs w:val="16"/>
          <w:lang w:val="en-US"/>
        </w:rPr>
      </w:pPr>
      <w:r>
        <w:rPr>
          <w:rFonts w:cs="Garamond" w:ascii="Garamond" w:hAnsi="Garamond"/>
          <w:sz w:val="16"/>
          <w:szCs w:val="16"/>
          <w:lang w:val="en-US"/>
        </w:rPr>
      </w:r>
    </w:p>
    <w:p>
      <w:pPr>
        <w:pStyle w:val="Normal"/>
        <w:autoSpaceDE w:val="false"/>
        <w:ind w:end="-31" w:firstLine="720"/>
        <w:jc w:val="both"/>
        <w:rPr>
          <w:rFonts w:ascii="Garamond" w:hAnsi="Garamond" w:cs="Garamond"/>
          <w:sz w:val="24"/>
          <w:szCs w:val="24"/>
          <w:lang w:val="en-US"/>
        </w:rPr>
      </w:pPr>
      <w:r>
        <w:rPr>
          <w:rFonts w:cs="Garamond" w:ascii="Garamond" w:hAnsi="Garamond"/>
          <w:sz w:val="24"/>
          <w:szCs w:val="24"/>
        </w:rPr>
        <w:t>Западноасуанскому петроглифическому очагу принадлежит известное местоположение, которому впервые изучивший и опубликовавший его немецкий этнолог Х. Винклер в своих экспедиционных дневниках присвоил порядковый номер 53. «Около 5 км к северу от Асуана, западный берег, короткое вади. В этом вади, приблизительно в 3,5 км западнее реки, скалистый остров. Жирафы, антилопы, газели, крокодилы, страусы; рогатый скот, собаки. Люди, некоторые с перьями на голове. Лодки…» [</w:t>
      </w:r>
      <w:r>
        <w:rPr>
          <w:rFonts w:cs="Garamond" w:ascii="Garamond" w:hAnsi="Garamond"/>
          <w:sz w:val="24"/>
          <w:szCs w:val="24"/>
          <w:lang w:val="en-US"/>
        </w:rPr>
        <w:t>Winkler</w:t>
      </w:r>
      <w:r>
        <w:rPr>
          <w:rFonts w:cs="Garamond" w:ascii="Garamond" w:hAnsi="Garamond"/>
          <w:sz w:val="24"/>
          <w:szCs w:val="24"/>
        </w:rPr>
        <w:t>, 1939]. Данный художественно-археологический памятник «до определенной степени отражает весь ландшафт наскального искусства Гарб Асуана» [</w:t>
      </w:r>
      <w:r>
        <w:rPr>
          <w:rFonts w:cs="Garamond" w:ascii="Garamond" w:hAnsi="Garamond"/>
          <w:sz w:val="24"/>
          <w:szCs w:val="24"/>
          <w:lang w:val="en-US"/>
        </w:rPr>
        <w:t>Storemyr</w:t>
      </w:r>
      <w:r>
        <w:rPr>
          <w:rFonts w:cs="Garamond" w:ascii="Garamond" w:hAnsi="Garamond"/>
          <w:sz w:val="24"/>
          <w:szCs w:val="24"/>
        </w:rPr>
        <w:t>, 2009]. “</w:t>
      </w:r>
      <w:r>
        <w:rPr>
          <w:rFonts w:cs="Garamond" w:ascii="Garamond" w:hAnsi="Garamond"/>
          <w:sz w:val="24"/>
          <w:szCs w:val="24"/>
          <w:lang w:val="en-US"/>
        </w:rPr>
        <w:t>Short</w:t>
      </w:r>
      <w:r>
        <w:rPr>
          <w:rFonts w:cs="Garamond" w:ascii="Garamond" w:hAnsi="Garamond"/>
          <w:sz w:val="24"/>
          <w:szCs w:val="24"/>
        </w:rPr>
        <w:t xml:space="preserve"> </w:t>
      </w:r>
      <w:r>
        <w:rPr>
          <w:rFonts w:cs="Garamond" w:ascii="Garamond" w:hAnsi="Garamond"/>
          <w:sz w:val="24"/>
          <w:szCs w:val="24"/>
          <w:lang w:val="en-US"/>
        </w:rPr>
        <w:t>wadi</w:t>
      </w:r>
      <w:r>
        <w:rPr>
          <w:rFonts w:cs="Garamond" w:ascii="Garamond" w:hAnsi="Garamond"/>
          <w:sz w:val="24"/>
          <w:szCs w:val="24"/>
        </w:rPr>
        <w:t>” — это упоминавшееся в первой части настоящей статьи Вади эль-Фарас [Прусаков, 2019а], прославившееся петроглифами многовесельных лодок внушительных размерений, и прежде всего «прямоугольной» ладьи со стоящим в</w:t>
      </w:r>
      <w:r>
        <w:rPr>
          <w:rFonts w:cs="Garamond" w:ascii="Garamond" w:hAnsi="Garamond"/>
          <w:sz w:val="24"/>
          <w:szCs w:val="24"/>
          <w:lang w:val="en-US"/>
        </w:rPr>
        <w:t> </w:t>
      </w:r>
      <w:r>
        <w:rPr>
          <w:rFonts w:cs="Garamond" w:ascii="Garamond" w:hAnsi="Garamond"/>
          <w:sz w:val="24"/>
          <w:szCs w:val="24"/>
        </w:rPr>
        <w:t>ней протодинастическим (?) «царем в белой короне», двойники которого в таких же головных уборах и с посохами в руках представлены несколькими сотнями метров южнее «на скалах, огораживающих песчаную равнину» у поселка Наг эль-Хамдулаб, величественно выступающими под опахалами рядом с аналогичными судами, один — в окружении целой флотилии</w:t>
      </w:r>
      <w:r>
        <w:rPr>
          <w:rStyle w:val="Style14"/>
          <w:rStyle w:val="Style19"/>
          <w:rFonts w:cs="Garamond" w:ascii="Garamond" w:hAnsi="Garamond"/>
          <w:sz w:val="24"/>
          <w:szCs w:val="24"/>
        </w:rPr>
        <w:footnoteReference w:id="30"/>
      </w:r>
      <w:r>
        <w:rPr>
          <w:rFonts w:cs="Garamond" w:ascii="Garamond" w:hAnsi="Garamond"/>
          <w:sz w:val="24"/>
          <w:szCs w:val="24"/>
        </w:rPr>
        <w:t xml:space="preserve"> [</w:t>
      </w:r>
      <w:r>
        <w:rPr>
          <w:rFonts w:eastAsia="Arial Unicode MS" w:cs="Garamond" w:ascii="Garamond" w:hAnsi="Garamond"/>
          <w:sz w:val="24"/>
          <w:szCs w:val="24"/>
          <w:lang w:val="en-US"/>
        </w:rPr>
        <w:t>Hendrickx</w:t>
      </w:r>
      <w:r>
        <w:rPr>
          <w:rFonts w:eastAsia="Arial Unicode MS" w:cs="Garamond" w:ascii="Garamond" w:hAnsi="Garamond"/>
          <w:sz w:val="24"/>
          <w:szCs w:val="24"/>
        </w:rPr>
        <w:t xml:space="preserve">, </w:t>
      </w:r>
      <w:r>
        <w:rPr>
          <w:rFonts w:eastAsia="Arial Unicode MS" w:cs="Garamond" w:ascii="Garamond" w:hAnsi="Garamond"/>
          <w:sz w:val="24"/>
          <w:szCs w:val="24"/>
          <w:lang w:val="en-US"/>
        </w:rPr>
        <w:t>Darnell</w:t>
      </w:r>
      <w:r>
        <w:rPr>
          <w:rFonts w:eastAsia="Arial Unicode MS" w:cs="Garamond" w:ascii="Garamond" w:hAnsi="Garamond"/>
          <w:sz w:val="24"/>
          <w:szCs w:val="24"/>
        </w:rPr>
        <w:t xml:space="preserve">, </w:t>
      </w:r>
      <w:r>
        <w:rPr>
          <w:rFonts w:eastAsia="Arial Unicode MS" w:cs="Garamond" w:ascii="Garamond" w:hAnsi="Garamond"/>
          <w:sz w:val="24"/>
          <w:szCs w:val="24"/>
          <w:lang w:val="en-US"/>
        </w:rPr>
        <w:t>Gatto</w:t>
      </w:r>
      <w:r>
        <w:rPr>
          <w:rFonts w:eastAsia="Arial Unicode MS" w:cs="Garamond" w:ascii="Garamond" w:hAnsi="Garamond"/>
          <w:sz w:val="24"/>
          <w:szCs w:val="24"/>
        </w:rPr>
        <w:t>, 2012</w:t>
      </w:r>
      <w:r>
        <w:rPr>
          <w:rFonts w:cs="Garamond" w:ascii="Garamond" w:hAnsi="Garamond"/>
          <w:sz w:val="24"/>
          <w:szCs w:val="24"/>
        </w:rPr>
        <w:t>]. Похожие «вездесущие и часто большие изображения церемониальных ладей» [</w:t>
      </w:r>
      <w:r>
        <w:rPr>
          <w:rFonts w:cs="Garamond" w:ascii="Garamond" w:hAnsi="Garamond"/>
          <w:sz w:val="24"/>
          <w:szCs w:val="24"/>
          <w:lang w:val="en-US"/>
        </w:rPr>
        <w:t>Darnell</w:t>
      </w:r>
      <w:r>
        <w:rPr>
          <w:rFonts w:cs="Garamond" w:ascii="Garamond" w:hAnsi="Garamond"/>
          <w:sz w:val="24"/>
          <w:szCs w:val="24"/>
        </w:rPr>
        <w:t>, 2015], с сопутствующими петроглифами жирафов и крокодилов, имеются также в Вади Рамла, в районе Вади эль-Тилаль и в Вади Карликов у подобия «маленького бассейна, который мог поддерживать растительность во влажной фазе голоцена», являясь, наряду с Вади эль-Фарас, удобнейшим пунктом для проживания и промысла первобытного человека в гумидных климатических условиях [</w:t>
      </w:r>
      <w:r>
        <w:rPr>
          <w:rFonts w:cs="Garamond" w:ascii="Garamond" w:hAnsi="Garamond"/>
          <w:sz w:val="24"/>
          <w:szCs w:val="24"/>
          <w:lang w:val="en-US"/>
        </w:rPr>
        <w:t>Storemyr</w:t>
      </w:r>
      <w:r>
        <w:rPr>
          <w:rFonts w:cs="Garamond" w:ascii="Garamond" w:hAnsi="Garamond"/>
          <w:sz w:val="24"/>
          <w:szCs w:val="24"/>
        </w:rPr>
        <w:t>, 2009].</w:t>
      </w:r>
    </w:p>
    <w:p>
      <w:pPr>
        <w:pStyle w:val="Normal"/>
        <w:autoSpaceDE w:val="false"/>
        <w:ind w:end="-31" w:firstLine="720"/>
        <w:jc w:val="both"/>
        <w:rPr>
          <w:rFonts w:ascii="Garamond" w:hAnsi="Garamond" w:cs="Garamond"/>
          <w:sz w:val="16"/>
          <w:szCs w:val="16"/>
          <w:lang w:val="en-US"/>
        </w:rPr>
      </w:pPr>
      <w:r>
        <w:rPr>
          <w:rFonts w:cs="Garamond" w:ascii="Garamond" w:hAnsi="Garamond"/>
          <w:sz w:val="16"/>
          <w:szCs w:val="16"/>
          <w:lang w:val="en-US"/>
        </w:rPr>
      </w:r>
    </w:p>
    <w:tbl>
      <w:tblPr>
        <w:tblW w:w="9005" w:type="dxa"/>
        <w:jc w:val="start"/>
        <w:tblInd w:w="-108" w:type="dxa"/>
        <w:tblBorders/>
        <w:tblCellMar>
          <w:top w:w="0" w:type="dxa"/>
          <w:start w:w="108" w:type="dxa"/>
          <w:bottom w:w="0" w:type="dxa"/>
          <w:end w:w="108" w:type="dxa"/>
        </w:tblCellMar>
      </w:tblPr>
      <w:tblGrid>
        <w:gridCol w:w="4937"/>
        <w:gridCol w:w="4068"/>
      </w:tblGrid>
      <w:tr>
        <w:trPr/>
        <w:tc>
          <w:tcPr>
            <w:tcW w:w="4937" w:type="dxa"/>
            <w:tcBorders/>
            <w:shd w:fill="auto" w:val="clear"/>
          </w:tcPr>
          <w:p>
            <w:pPr>
              <w:pStyle w:val="Normal"/>
              <w:autoSpaceDE w:val="false"/>
              <w:ind w:end="-31" w:hanging="0"/>
              <w:rPr>
                <w:rFonts w:ascii="Garamond" w:hAnsi="Garamond" w:cs="Garamond"/>
                <w:sz w:val="22"/>
                <w:szCs w:val="22"/>
                <w:lang w:val="en-US"/>
              </w:rPr>
            </w:pPr>
            <w:r>
              <w:rPr>
                <w:rFonts w:cs="Garamond" w:ascii="Garamond" w:hAnsi="Garamond"/>
                <w:sz w:val="22"/>
                <w:szCs w:val="22"/>
                <w:lang w:val="en-US"/>
              </w:rPr>
              <w:drawing>
                <wp:inline distT="0" distB="0" distL="0" distR="0">
                  <wp:extent cx="3016885" cy="3611245"/>
                  <wp:effectExtent l="0" t="0" r="0" b="0"/>
                  <wp:docPr id="8"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5" descr="" title=""/>
                          <pic:cNvPicPr>
                            <a:picLocks noChangeAspect="1" noChangeArrowheads="1"/>
                          </pic:cNvPicPr>
                        </pic:nvPicPr>
                        <pic:blipFill>
                          <a:blip r:embed="rId7"/>
                          <a:srcRect l="-1" t="-1" r="-1" b="-1"/>
                          <a:stretch>
                            <a:fillRect/>
                          </a:stretch>
                        </pic:blipFill>
                        <pic:spPr bwMode="auto">
                          <a:xfrm>
                            <a:off x="0" y="0"/>
                            <a:ext cx="3016885" cy="3611245"/>
                          </a:xfrm>
                          <a:prstGeom prst="rect">
                            <a:avLst/>
                          </a:prstGeom>
                        </pic:spPr>
                      </pic:pic>
                    </a:graphicData>
                  </a:graphic>
                </wp:inline>
              </w:drawing>
            </w:r>
          </w:p>
          <w:p>
            <w:pPr>
              <w:pStyle w:val="Normal"/>
              <w:autoSpaceDE w:val="false"/>
              <w:ind w:end="-31" w:hanging="0"/>
              <w:jc w:val="center"/>
              <w:rPr>
                <w:rFonts w:ascii="Garamond" w:hAnsi="Garamond" w:cs="Garamond"/>
                <w:sz w:val="22"/>
                <w:szCs w:val="22"/>
                <w:lang w:val="en-US"/>
              </w:rPr>
            </w:pPr>
            <w:r>
              <w:rPr>
                <w:rFonts w:cs="Garamond" w:ascii="Garamond" w:hAnsi="Garamond"/>
                <w:i/>
                <w:sz w:val="22"/>
                <w:szCs w:val="22"/>
              </w:rPr>
              <w:t>Илл. 5.</w:t>
            </w:r>
            <w:r>
              <w:rPr>
                <w:rFonts w:cs="Garamond" w:ascii="Garamond" w:hAnsi="Garamond"/>
                <w:sz w:val="22"/>
                <w:szCs w:val="22"/>
              </w:rPr>
              <w:t xml:space="preserve"> Озеро Насер</w:t>
            </w:r>
          </w:p>
          <w:p>
            <w:pPr>
              <w:pStyle w:val="Normal"/>
              <w:autoSpaceDE w:val="false"/>
              <w:ind w:end="-31" w:hanging="0"/>
              <w:jc w:val="center"/>
              <w:rPr/>
            </w:pPr>
            <w:r>
              <w:rPr>
                <w:rFonts w:cs="Garamond" w:ascii="Garamond" w:hAnsi="Garamond"/>
                <w:sz w:val="22"/>
                <w:szCs w:val="22"/>
              </w:rPr>
              <w:t xml:space="preserve">(фото </w:t>
            </w:r>
            <w:r>
              <w:rPr>
                <w:rFonts w:cs="Garamond" w:ascii="Garamond" w:hAnsi="Garamond"/>
                <w:sz w:val="22"/>
                <w:szCs w:val="22"/>
                <w:lang w:val="en-US"/>
              </w:rPr>
              <w:t>NASA</w:t>
            </w:r>
            <w:r>
              <w:rPr>
                <w:rFonts w:cs="Garamond" w:ascii="Garamond" w:hAnsi="Garamond"/>
                <w:sz w:val="22"/>
                <w:szCs w:val="22"/>
              </w:rPr>
              <w:t xml:space="preserve">: </w:t>
            </w:r>
            <w:hyperlink r:id="rId8">
              <w:r>
                <w:rPr>
                  <w:rStyle w:val="Style15"/>
                  <w:rFonts w:cs="Garamond" w:ascii="Garamond" w:hAnsi="Garamond"/>
                  <w:color w:val="000000"/>
                  <w:sz w:val="22"/>
                  <w:szCs w:val="22"/>
                  <w:u w:val="none"/>
                  <w:lang w:val="en-US"/>
                </w:rPr>
                <w:t>http</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looklex</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com</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e</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o</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slides</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nasser</w:t>
              </w:r>
              <w:r>
                <w:rPr>
                  <w:rStyle w:val="Style15"/>
                  <w:rFonts w:cs="Garamond" w:ascii="Garamond" w:hAnsi="Garamond"/>
                  <w:color w:val="000000"/>
                  <w:sz w:val="22"/>
                  <w:szCs w:val="22"/>
                  <w:u w:val="none"/>
                </w:rPr>
                <w:t>_</w:t>
              </w:r>
              <w:r>
                <w:rPr>
                  <w:rStyle w:val="Style15"/>
                  <w:rFonts w:cs="Garamond" w:ascii="Garamond" w:hAnsi="Garamond"/>
                  <w:color w:val="000000"/>
                  <w:sz w:val="22"/>
                  <w:szCs w:val="22"/>
                  <w:u w:val="none"/>
                  <w:lang w:val="en-US"/>
                </w:rPr>
                <w:t>lake</w:t>
              </w:r>
              <w:r>
                <w:rPr>
                  <w:rStyle w:val="Style15"/>
                  <w:rFonts w:cs="Garamond" w:ascii="Garamond" w:hAnsi="Garamond"/>
                  <w:color w:val="000000"/>
                  <w:sz w:val="22"/>
                  <w:szCs w:val="22"/>
                  <w:u w:val="none"/>
                </w:rPr>
                <w:t>02.</w:t>
              </w:r>
              <w:r>
                <w:rPr>
                  <w:rStyle w:val="Style15"/>
                  <w:rFonts w:cs="Garamond" w:ascii="Garamond" w:hAnsi="Garamond"/>
                  <w:color w:val="000000"/>
                  <w:sz w:val="22"/>
                  <w:szCs w:val="22"/>
                  <w:u w:val="none"/>
                  <w:lang w:val="en-US"/>
                </w:rPr>
                <w:t>jpg</w:t>
              </w:r>
            </w:hyperlink>
            <w:r>
              <w:rPr>
                <w:rFonts w:cs="Garamond" w:ascii="Garamond" w:hAnsi="Garamond"/>
                <w:sz w:val="22"/>
                <w:szCs w:val="22"/>
              </w:rPr>
              <w:t>)</w:t>
            </w:r>
          </w:p>
        </w:tc>
        <w:tc>
          <w:tcPr>
            <w:tcW w:w="4068" w:type="dxa"/>
            <w:tcBorders/>
            <w:shd w:fill="auto" w:val="clear"/>
          </w:tcPr>
          <w:p>
            <w:pPr>
              <w:pStyle w:val="Normal"/>
              <w:autoSpaceDE w:val="false"/>
              <w:ind w:end="-31" w:hanging="0"/>
              <w:jc w:val="end"/>
              <w:rPr>
                <w:rFonts w:ascii="Garamond" w:hAnsi="Garamond" w:cs="Garamond"/>
                <w:i/>
                <w:i/>
                <w:sz w:val="22"/>
                <w:szCs w:val="22"/>
                <w:lang w:val="en-US"/>
              </w:rPr>
            </w:pPr>
            <w:r>
              <w:rPr>
                <w:rFonts w:cs="Garamond" w:ascii="Garamond" w:hAnsi="Garamond"/>
                <w:sz w:val="22"/>
                <w:szCs w:val="22"/>
                <w:lang w:val="en-US"/>
              </w:rPr>
              <w:drawing>
                <wp:inline distT="0" distB="0" distL="0" distR="0">
                  <wp:extent cx="2407920" cy="3615690"/>
                  <wp:effectExtent l="0" t="0" r="0" b="0"/>
                  <wp:docPr id="9"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6" descr="" title=""/>
                          <pic:cNvPicPr>
                            <a:picLocks noChangeAspect="1" noChangeArrowheads="1"/>
                          </pic:cNvPicPr>
                        </pic:nvPicPr>
                        <pic:blipFill>
                          <a:blip r:embed="rId9"/>
                          <a:srcRect l="-1" t="-1" r="-1" b="-1"/>
                          <a:stretch>
                            <a:fillRect/>
                          </a:stretch>
                        </pic:blipFill>
                        <pic:spPr bwMode="auto">
                          <a:xfrm>
                            <a:off x="0" y="0"/>
                            <a:ext cx="2407920" cy="3615690"/>
                          </a:xfrm>
                          <a:prstGeom prst="rect">
                            <a:avLst/>
                          </a:prstGeom>
                        </pic:spPr>
                      </pic:pic>
                    </a:graphicData>
                  </a:graphic>
                </wp:inline>
              </w:drawing>
            </w:r>
          </w:p>
          <w:p>
            <w:pPr>
              <w:pStyle w:val="Normal"/>
              <w:autoSpaceDE w:val="false"/>
              <w:ind w:end="-31" w:hanging="0"/>
              <w:jc w:val="center"/>
              <w:rPr>
                <w:rFonts w:ascii="Garamond" w:hAnsi="Garamond" w:cs="Garamond"/>
                <w:sz w:val="22"/>
                <w:szCs w:val="22"/>
                <w:lang w:val="en-US"/>
              </w:rPr>
            </w:pPr>
            <w:r>
              <w:rPr>
                <w:rFonts w:cs="Garamond" w:ascii="Garamond" w:hAnsi="Garamond"/>
                <w:i/>
                <w:sz w:val="22"/>
                <w:szCs w:val="22"/>
              </w:rPr>
              <w:t>Илл. 6.</w:t>
            </w:r>
            <w:r>
              <w:rPr>
                <w:rFonts w:cs="Garamond" w:ascii="Garamond" w:hAnsi="Garamond"/>
                <w:sz w:val="22"/>
                <w:szCs w:val="22"/>
              </w:rPr>
              <w:t xml:space="preserve"> Средняя часть озера Насер</w:t>
            </w:r>
          </w:p>
          <w:p>
            <w:pPr>
              <w:pStyle w:val="Normal"/>
              <w:autoSpaceDE w:val="false"/>
              <w:ind w:end="-31" w:hanging="0"/>
              <w:jc w:val="center"/>
              <w:rPr/>
            </w:pPr>
            <w:r>
              <w:rPr>
                <w:rFonts w:cs="Garamond" w:ascii="Garamond" w:hAnsi="Garamond"/>
                <w:sz w:val="22"/>
                <w:szCs w:val="22"/>
              </w:rPr>
              <w:t xml:space="preserve">(фото </w:t>
            </w:r>
            <w:r>
              <w:rPr>
                <w:rFonts w:cs="Garamond" w:ascii="Garamond" w:hAnsi="Garamond"/>
                <w:sz w:val="22"/>
                <w:szCs w:val="22"/>
                <w:lang w:val="en-US"/>
              </w:rPr>
              <w:t>NASA</w:t>
            </w:r>
            <w:r>
              <w:rPr>
                <w:rFonts w:cs="Garamond" w:ascii="Garamond" w:hAnsi="Garamond"/>
                <w:sz w:val="22"/>
                <w:szCs w:val="22"/>
              </w:rPr>
              <w:t xml:space="preserve">: </w:t>
            </w:r>
            <w:hyperlink r:id="rId10">
              <w:r>
                <w:rPr>
                  <w:rStyle w:val="Style15"/>
                  <w:rFonts w:cs="Garamond" w:ascii="Garamond" w:hAnsi="Garamond"/>
                  <w:color w:val="000000"/>
                  <w:sz w:val="22"/>
                  <w:szCs w:val="22"/>
                  <w:u w:val="none"/>
                  <w:lang w:val="en-US"/>
                </w:rPr>
                <w:t>http</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looklex</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com</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e</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o</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lake</w:t>
              </w:r>
              <w:r>
                <w:rPr>
                  <w:rStyle w:val="Style15"/>
                  <w:rFonts w:cs="Garamond" w:ascii="Garamond" w:hAnsi="Garamond"/>
                  <w:color w:val="000000"/>
                  <w:sz w:val="22"/>
                  <w:szCs w:val="22"/>
                  <w:u w:val="none"/>
                </w:rPr>
                <w:t>_</w:t>
              </w:r>
              <w:r>
                <w:rPr>
                  <w:rStyle w:val="Style15"/>
                  <w:rFonts w:cs="Garamond" w:ascii="Garamond" w:hAnsi="Garamond"/>
                  <w:color w:val="000000"/>
                  <w:sz w:val="22"/>
                  <w:szCs w:val="22"/>
                  <w:u w:val="none"/>
                  <w:lang w:val="en-US"/>
                </w:rPr>
                <w:t>nasser</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htm</w:t>
              </w:r>
            </w:hyperlink>
            <w:r>
              <w:rPr>
                <w:rFonts w:cs="Garamond" w:ascii="Garamond" w:hAnsi="Garamond"/>
                <w:sz w:val="22"/>
                <w:szCs w:val="22"/>
              </w:rPr>
              <w:t>)</w:t>
            </w:r>
          </w:p>
        </w:tc>
      </w:tr>
    </w:tbl>
    <w:p>
      <w:pPr>
        <w:pStyle w:val="Normal"/>
        <w:autoSpaceDE w:val="false"/>
        <w:ind w:end="-31" w:hanging="0"/>
        <w:jc w:val="both"/>
        <w:rPr>
          <w:rFonts w:ascii="Garamond" w:hAnsi="Garamond" w:cs="Garamond"/>
          <w:sz w:val="16"/>
          <w:szCs w:val="16"/>
        </w:rPr>
      </w:pPr>
      <w:r>
        <w:rPr>
          <w:rFonts w:cs="Garamond" w:ascii="Garamond" w:hAnsi="Garamond"/>
          <w:sz w:val="16"/>
          <w:szCs w:val="16"/>
        </w:rPr>
      </w:r>
    </w:p>
    <w:p>
      <w:pPr>
        <w:pStyle w:val="Normal"/>
        <w:autoSpaceDE w:val="false"/>
        <w:ind w:end="-31" w:firstLine="720"/>
        <w:jc w:val="both"/>
        <w:rPr/>
      </w:pPr>
      <w:r>
        <w:rPr>
          <w:rFonts w:cs="Garamond" w:ascii="Garamond" w:hAnsi="Garamond"/>
          <w:sz w:val="24"/>
          <w:szCs w:val="24"/>
        </w:rPr>
        <w:t>«В итоге, Вади эль-Фарас выделяется как подходящее для людей местообитание, благоприятствовавшее мелкому смешанному хозяйствованию в доисторические времена (охоте, собирательству, скотоводству и, возможно, рыболовству на реке)» [</w:t>
      </w:r>
      <w:r>
        <w:rPr>
          <w:rFonts w:cs="Garamond" w:ascii="Garamond" w:hAnsi="Garamond"/>
          <w:sz w:val="24"/>
          <w:szCs w:val="24"/>
          <w:lang w:val="en-US"/>
        </w:rPr>
        <w:t>Storemyr</w:t>
      </w:r>
      <w:r>
        <w:rPr>
          <w:rFonts w:cs="Garamond" w:ascii="Garamond" w:hAnsi="Garamond"/>
          <w:sz w:val="24"/>
          <w:szCs w:val="24"/>
        </w:rPr>
        <w:t>, 2009], причем последний род деятельности в таком контексте обязывает автора определиться в вопросе о связи рассматриваемого вади с нильским водотоком. Уточню, что отмеченный 53-м «сайтом» Х. Винклера “</w:t>
      </w:r>
      <w:r>
        <w:rPr>
          <w:rFonts w:cs="Garamond" w:ascii="Garamond" w:hAnsi="Garamond"/>
          <w:sz w:val="24"/>
          <w:szCs w:val="24"/>
          <w:lang w:val="en-US"/>
        </w:rPr>
        <w:t>rocky</w:t>
      </w:r>
      <w:r>
        <w:rPr>
          <w:rFonts w:cs="Garamond" w:ascii="Garamond" w:hAnsi="Garamond"/>
          <w:sz w:val="24"/>
          <w:szCs w:val="24"/>
        </w:rPr>
        <w:t xml:space="preserve"> </w:t>
      </w:r>
      <w:r>
        <w:rPr>
          <w:rFonts w:cs="Garamond" w:ascii="Garamond" w:hAnsi="Garamond"/>
          <w:sz w:val="24"/>
          <w:szCs w:val="24"/>
          <w:lang w:val="en-US"/>
        </w:rPr>
        <w:t>island</w:t>
      </w:r>
      <w:r>
        <w:rPr>
          <w:rFonts w:cs="Garamond" w:ascii="Garamond" w:hAnsi="Garamond"/>
          <w:sz w:val="24"/>
          <w:szCs w:val="24"/>
        </w:rPr>
        <w:t>” — это отдельно стоящий вытянутый песчаниковый бугор, возвышающийся, по другим оценкам, на расстоянии 2,5 или 3</w:t>
      </w:r>
      <w:r>
        <w:rPr>
          <w:rFonts w:cs="Garamond" w:ascii="Garamond" w:hAnsi="Garamond"/>
          <w:sz w:val="24"/>
          <w:szCs w:val="24"/>
          <w:lang w:val="en-US"/>
        </w:rPr>
        <w:t> </w:t>
      </w:r>
      <w:r>
        <w:rPr>
          <w:rFonts w:cs="Garamond" w:ascii="Garamond" w:hAnsi="Garamond"/>
          <w:sz w:val="24"/>
          <w:szCs w:val="24"/>
        </w:rPr>
        <w:t>км от Нила в резком сужении Вади эль-Фарас, где оно образует «бутылочное горло» перед расширяющейся дальше к западу равниной [Č</w:t>
      </w:r>
      <w:r>
        <w:rPr>
          <w:rFonts w:cs="Garamond" w:ascii="Garamond" w:hAnsi="Garamond"/>
          <w:sz w:val="24"/>
          <w:szCs w:val="24"/>
          <w:lang w:val="en-US"/>
        </w:rPr>
        <w:t>ervi</w:t>
      </w:r>
      <w:r>
        <w:rPr>
          <w:rFonts w:cs="Garamond" w:ascii="Garamond" w:hAnsi="Garamond"/>
          <w:sz w:val="24"/>
          <w:szCs w:val="24"/>
        </w:rPr>
        <w:t>č</w:t>
      </w:r>
      <w:r>
        <w:rPr>
          <w:rFonts w:cs="Garamond" w:ascii="Garamond" w:hAnsi="Garamond"/>
          <w:sz w:val="24"/>
          <w:szCs w:val="24"/>
          <w:lang w:val="en-US"/>
        </w:rPr>
        <w:t>ek</w:t>
      </w:r>
      <w:r>
        <w:rPr>
          <w:rFonts w:cs="Garamond" w:ascii="Garamond" w:hAnsi="Garamond"/>
          <w:sz w:val="24"/>
          <w:szCs w:val="24"/>
        </w:rPr>
        <w:t xml:space="preserve">, 1986; </w:t>
      </w:r>
      <w:r>
        <w:rPr>
          <w:rFonts w:cs="Garamond" w:ascii="Garamond" w:hAnsi="Garamond"/>
          <w:sz w:val="24"/>
          <w:szCs w:val="24"/>
          <w:lang w:val="en-US"/>
        </w:rPr>
        <w:t>Storemyr</w:t>
      </w:r>
      <w:r>
        <w:rPr>
          <w:rFonts w:cs="Garamond" w:ascii="Garamond" w:hAnsi="Garamond"/>
          <w:sz w:val="24"/>
          <w:szCs w:val="24"/>
        </w:rPr>
        <w:t>, 2009]. По мнению археологов (сетовавших, однако, на мощные наносы песка, которые, вероятно, никогда не позволят докопаться до здешнего культурного слоя), местность была весьма удобна для загона дичи и представляла собой идеальное охотничье угодье, с чем согласуется вышеперечисленная фауна ближних петроглифов. Отдельного внимания заслуживает ее полуводный компонент, например, «большой крокодил» и «два длинных крокодила», чьи изображения покрыты толстым слоем черной патины, что, скорее всего, свидетельствует об их значительной древности (не позднее периода Нагада</w:t>
      </w:r>
      <w:r>
        <w:rPr>
          <w:rFonts w:cs="Garamond" w:ascii="Garamond" w:hAnsi="Garamond"/>
          <w:sz w:val="24"/>
          <w:szCs w:val="24"/>
          <w:lang w:val="en-US"/>
        </w:rPr>
        <w:t> I</w:t>
      </w:r>
      <w:r>
        <w:rPr>
          <w:rFonts w:cs="Garamond" w:ascii="Garamond" w:hAnsi="Garamond"/>
          <w:sz w:val="24"/>
          <w:szCs w:val="24"/>
        </w:rPr>
        <w:t>, ср.: [</w:t>
      </w:r>
      <w:r>
        <w:rPr>
          <w:rFonts w:cs="Garamond" w:ascii="Garamond" w:hAnsi="Garamond"/>
          <w:sz w:val="24"/>
          <w:szCs w:val="24"/>
          <w:lang w:val="en-US"/>
        </w:rPr>
        <w:t>Huyge</w:t>
      </w:r>
      <w:r>
        <w:rPr>
          <w:rFonts w:cs="Garamond" w:ascii="Garamond" w:hAnsi="Garamond"/>
          <w:sz w:val="24"/>
          <w:szCs w:val="24"/>
        </w:rPr>
        <w:t>, 2002]). Если принять, что крокодилы тогда постоянно обитали в тех краях (см.: [Прусаков, 2019б]), то водоемом, необходимым им для круглогодичной жизни на таком удалении от Нила, гипотетически мог быть омывавший «скалистый остров» в Вади эль-Фарас речной залив, к берегам которого стекались рыбаки, тянулись на водопой привлекавшие охотников животные из соседней саванны, и приставали «церемониальные» ладьи с «царями» и без них на борту.</w:t>
      </w:r>
    </w:p>
    <w:p>
      <w:pPr>
        <w:pStyle w:val="Normal"/>
        <w:autoSpaceDE w:val="false"/>
        <w:ind w:end="-31" w:firstLine="720"/>
        <w:jc w:val="both"/>
        <w:rPr/>
      </w:pPr>
      <w:r>
        <w:rPr>
          <w:rFonts w:cs="Garamond" w:ascii="Garamond" w:hAnsi="Garamond"/>
          <w:sz w:val="24"/>
          <w:szCs w:val="24"/>
        </w:rPr>
        <w:t>Это предположение не только не противоречит, но, на мой взгляд, даже добавляет правдоподобия догадке археологов, что Вади эль-Фарас принадлежало к «участкам», где начинались или обрывались у Реки проторенные людьми еще в додинастическую эпоху торговые и прочие маршруты по нижненубийско-верхнеегипетскому левобережному (галлабскому) педиплену (см.: [</w:t>
      </w:r>
      <w:r>
        <w:rPr>
          <w:rFonts w:cs="Garamond" w:ascii="Garamond" w:hAnsi="Garamond"/>
          <w:sz w:val="24"/>
          <w:szCs w:val="24"/>
          <w:lang w:val="en-US"/>
        </w:rPr>
        <w:t>Butzer</w:t>
      </w:r>
      <w:r>
        <w:rPr>
          <w:rFonts w:cs="Garamond" w:ascii="Garamond" w:hAnsi="Garamond"/>
          <w:sz w:val="24"/>
          <w:szCs w:val="24"/>
        </w:rPr>
        <w:t xml:space="preserve">, </w:t>
      </w:r>
      <w:r>
        <w:rPr>
          <w:rFonts w:cs="Garamond" w:ascii="Garamond" w:hAnsi="Garamond"/>
          <w:sz w:val="24"/>
          <w:szCs w:val="24"/>
          <w:lang w:val="en-US"/>
        </w:rPr>
        <w:t>Hansen</w:t>
      </w:r>
      <w:r>
        <w:rPr>
          <w:rFonts w:cs="Garamond" w:ascii="Garamond" w:hAnsi="Garamond"/>
          <w:sz w:val="24"/>
          <w:szCs w:val="24"/>
        </w:rPr>
        <w:t>, 1965])</w:t>
      </w:r>
      <w:r>
        <w:rPr>
          <w:rStyle w:val="Style14"/>
          <w:rStyle w:val="Style19"/>
          <w:rFonts w:cs="Garamond" w:ascii="Garamond" w:hAnsi="Garamond"/>
          <w:sz w:val="24"/>
          <w:szCs w:val="24"/>
        </w:rPr>
        <w:footnoteReference w:id="31"/>
      </w:r>
      <w:r>
        <w:rPr>
          <w:rFonts w:cs="Garamond" w:ascii="Garamond" w:hAnsi="Garamond"/>
          <w:sz w:val="24"/>
          <w:szCs w:val="24"/>
        </w:rPr>
        <w:t>, связанные через Нил с Восточной пустыней [</w:t>
      </w:r>
      <w:r>
        <w:rPr>
          <w:rFonts w:cs="Garamond" w:ascii="Garamond" w:hAnsi="Garamond"/>
          <w:sz w:val="24"/>
          <w:szCs w:val="24"/>
          <w:lang w:val="en-US"/>
        </w:rPr>
        <w:t>Storemyr</w:t>
      </w:r>
      <w:r>
        <w:rPr>
          <w:rFonts w:cs="Garamond" w:ascii="Garamond" w:hAnsi="Garamond"/>
          <w:sz w:val="24"/>
          <w:szCs w:val="24"/>
        </w:rPr>
        <w:t xml:space="preserve">, 2007; </w:t>
      </w:r>
      <w:r>
        <w:rPr>
          <w:rFonts w:cs="Garamond" w:ascii="Garamond" w:hAnsi="Garamond"/>
          <w:sz w:val="24"/>
          <w:szCs w:val="24"/>
          <w:lang w:val="en-US"/>
        </w:rPr>
        <w:t>Storemyr</w:t>
      </w:r>
      <w:r>
        <w:rPr>
          <w:rFonts w:cs="Garamond" w:ascii="Garamond" w:hAnsi="Garamond"/>
          <w:sz w:val="24"/>
          <w:szCs w:val="24"/>
        </w:rPr>
        <w:t xml:space="preserve"> </w:t>
      </w:r>
      <w:r>
        <w:rPr>
          <w:rFonts w:cs="Garamond" w:ascii="Garamond" w:hAnsi="Garamond"/>
          <w:sz w:val="24"/>
          <w:szCs w:val="24"/>
          <w:lang w:val="en-US"/>
        </w:rPr>
        <w:t>et</w:t>
      </w:r>
      <w:r>
        <w:rPr>
          <w:rFonts w:cs="Garamond" w:ascii="Garamond" w:hAnsi="Garamond"/>
          <w:sz w:val="24"/>
          <w:szCs w:val="24"/>
        </w:rPr>
        <w:t xml:space="preserve"> </w:t>
      </w:r>
      <w:r>
        <w:rPr>
          <w:rFonts w:cs="Garamond" w:ascii="Garamond" w:hAnsi="Garamond"/>
          <w:sz w:val="24"/>
          <w:szCs w:val="24"/>
          <w:lang w:val="en-US"/>
        </w:rPr>
        <w:t>al</w:t>
      </w:r>
      <w:r>
        <w:rPr>
          <w:rFonts w:cs="Garamond" w:ascii="Garamond" w:hAnsi="Garamond"/>
          <w:sz w:val="24"/>
          <w:szCs w:val="24"/>
        </w:rPr>
        <w:t>., 2013]. «Если наскальные рисунки Гарб Асуана были созданы путниками, имевшими цели, отличные от местной охоты и камнедобычи, то возникает вопрос: почему они располагаются в “конце” (или в “начале”) дорог? Можно ли это объяснить чем-то вроде параллели  с  хорошо  известной  практикой</w:t>
      </w:r>
      <w:r>
        <w:rPr>
          <w:rStyle w:val="Style14"/>
          <w:rStyle w:val="Style19"/>
          <w:rFonts w:cs="Garamond" w:ascii="Garamond" w:hAnsi="Garamond"/>
          <w:sz w:val="24"/>
          <w:szCs w:val="24"/>
        </w:rPr>
        <w:footnoteReference w:id="32"/>
      </w:r>
      <w:r>
        <w:rPr>
          <w:rFonts w:cs="Garamond" w:ascii="Garamond" w:hAnsi="Garamond"/>
          <w:sz w:val="24"/>
          <w:szCs w:val="24"/>
        </w:rPr>
        <w:t xml:space="preserve">  установки  простых  вотивных  стел (недекорированных камней) при входе в долину Нила или при выходе из нее? Люди могли собираться здесь по столь же важным делам, что и в исторический период, а именно, для торговообменных операций. Или же они могли просто приметить этот район как становище, пригодное для рисования» [</w:t>
      </w:r>
      <w:r>
        <w:rPr>
          <w:rFonts w:cs="Garamond" w:ascii="Garamond" w:hAnsi="Garamond"/>
          <w:sz w:val="24"/>
          <w:szCs w:val="24"/>
          <w:lang w:val="en-US"/>
        </w:rPr>
        <w:t>Storemyr</w:t>
      </w:r>
      <w:r>
        <w:rPr>
          <w:rFonts w:cs="Garamond" w:ascii="Garamond" w:hAnsi="Garamond"/>
          <w:sz w:val="24"/>
          <w:szCs w:val="24"/>
        </w:rPr>
        <w:t>, 2009]. Представив на месте засыпанного песком и выжженного солнцем Вади эль-Фарас нильский залив с функцией лодочной гавани — не ответим ли мы разом на большинство этих вопросов?</w:t>
      </w:r>
    </w:p>
    <w:p>
      <w:pPr>
        <w:pStyle w:val="Normal"/>
        <w:autoSpaceDE w:val="false"/>
        <w:ind w:end="-31" w:firstLine="720"/>
        <w:jc w:val="both"/>
        <w:rPr/>
      </w:pPr>
      <w:r>
        <w:rPr>
          <w:rFonts w:cs="Garamond" w:ascii="Garamond" w:hAnsi="Garamond"/>
          <w:sz w:val="24"/>
          <w:szCs w:val="24"/>
        </w:rPr>
        <w:t>Идею такого залива подкрепляет реконструированный норвежским геоархеологом П. Сторемюром для терминального плейстоцена («примерно 15–20</w:t>
      </w:r>
      <w:r>
        <w:rPr>
          <w:rFonts w:cs="Garamond" w:ascii="Garamond" w:hAnsi="Garamond"/>
          <w:sz w:val="24"/>
          <w:szCs w:val="24"/>
          <w:lang w:val="en-US"/>
        </w:rPr>
        <w:t> </w:t>
      </w:r>
      <w:r>
        <w:rPr>
          <w:rFonts w:cs="Garamond" w:ascii="Garamond" w:hAnsi="Garamond"/>
          <w:sz w:val="24"/>
          <w:szCs w:val="24"/>
        </w:rPr>
        <w:t>тыс. лет назад»</w:t>
      </w:r>
      <w:r>
        <w:rPr>
          <w:rStyle w:val="Style14"/>
          <w:rStyle w:val="Style19"/>
          <w:rFonts w:cs="Garamond" w:ascii="Garamond" w:hAnsi="Garamond"/>
          <w:sz w:val="24"/>
          <w:szCs w:val="24"/>
        </w:rPr>
        <w:footnoteReference w:id="33"/>
      </w:r>
      <w:r>
        <w:rPr>
          <w:rFonts w:cs="Garamond" w:ascii="Garamond" w:hAnsi="Garamond"/>
          <w:sz w:val="24"/>
          <w:szCs w:val="24"/>
        </w:rPr>
        <w:t>) «фьорд» в восточном Вади Абу Субейра с устьем в 12</w:t>
      </w:r>
      <w:r>
        <w:rPr>
          <w:rFonts w:cs="Garamond" w:ascii="Garamond" w:hAnsi="Garamond"/>
          <w:sz w:val="24"/>
          <w:szCs w:val="24"/>
          <w:lang w:val="en-US"/>
        </w:rPr>
        <w:t> </w:t>
      </w:r>
      <w:r>
        <w:rPr>
          <w:rFonts w:cs="Garamond" w:ascii="Garamond" w:hAnsi="Garamond"/>
          <w:sz w:val="24"/>
          <w:szCs w:val="24"/>
        </w:rPr>
        <w:t>км севернее Асуана и шириной около 1</w:t>
      </w:r>
      <w:r>
        <w:rPr>
          <w:rFonts w:cs="Garamond" w:ascii="Garamond" w:hAnsi="Garamond"/>
          <w:sz w:val="24"/>
          <w:szCs w:val="24"/>
          <w:lang w:val="en-US"/>
        </w:rPr>
        <w:t> </w:t>
      </w:r>
      <w:r>
        <w:rPr>
          <w:rFonts w:cs="Garamond" w:ascii="Garamond" w:hAnsi="Garamond"/>
          <w:sz w:val="24"/>
          <w:szCs w:val="24"/>
        </w:rPr>
        <w:t>км, вдававшийся в сушу на несколько (до 9–10) километров (</w:t>
      </w:r>
      <w:r>
        <w:rPr>
          <w:rFonts w:cs="Garamond" w:ascii="Garamond" w:hAnsi="Garamond"/>
          <w:i/>
          <w:sz w:val="24"/>
          <w:szCs w:val="24"/>
        </w:rPr>
        <w:t>илл.</w:t>
      </w:r>
      <w:r>
        <w:rPr>
          <w:rFonts w:cs="Garamond" w:ascii="Garamond" w:hAnsi="Garamond"/>
          <w:i/>
          <w:sz w:val="24"/>
          <w:szCs w:val="24"/>
          <w:lang w:val="en-US"/>
        </w:rPr>
        <w:t> </w:t>
      </w:r>
      <w:r>
        <w:rPr>
          <w:rFonts w:cs="Garamond" w:ascii="Garamond" w:hAnsi="Garamond"/>
          <w:i/>
          <w:sz w:val="24"/>
          <w:szCs w:val="24"/>
        </w:rPr>
        <w:t>7</w:t>
      </w:r>
      <w:r>
        <w:rPr>
          <w:rFonts w:cs="Garamond" w:ascii="Garamond" w:hAnsi="Garamond"/>
          <w:sz w:val="24"/>
          <w:szCs w:val="24"/>
        </w:rPr>
        <w:t>); по дополнительной версии реконструктора, устье вади, возможно, периодически блокировали песчаные дюны, и тогда «фьорд» превращался в «непостоянное озеро», питавшееся дождевыми и грунтовыми водами</w:t>
      </w:r>
      <w:r>
        <w:rPr>
          <w:rStyle w:val="Style14"/>
          <w:rStyle w:val="Style19"/>
          <w:rFonts w:cs="Garamond" w:ascii="Garamond" w:hAnsi="Garamond"/>
          <w:sz w:val="24"/>
          <w:szCs w:val="24"/>
        </w:rPr>
        <w:footnoteReference w:id="34"/>
      </w:r>
      <w:r>
        <w:rPr>
          <w:rFonts w:cs="Garamond" w:ascii="Garamond" w:hAnsi="Garamond"/>
          <w:sz w:val="24"/>
          <w:szCs w:val="24"/>
        </w:rPr>
        <w:t>. Датировку этого водоема ученым подсказали сохранившиеся на склонах вади — его предполагаемых берегах — позднепалеолитические натуралистичные петроглифы животных (в основном «дикого рогатого скота», также рыб и др.) [</w:t>
      </w:r>
      <w:r>
        <w:rPr>
          <w:rFonts w:cs="Garamond" w:ascii="Garamond" w:hAnsi="Garamond"/>
          <w:sz w:val="24"/>
          <w:szCs w:val="24"/>
          <w:lang w:val="en-US"/>
        </w:rPr>
        <w:t>Storemyr</w:t>
      </w:r>
      <w:r>
        <w:rPr>
          <w:rFonts w:cs="Garamond" w:ascii="Garamond" w:hAnsi="Garamond"/>
          <w:sz w:val="24"/>
          <w:szCs w:val="24"/>
        </w:rPr>
        <w:t xml:space="preserve"> </w:t>
      </w:r>
      <w:r>
        <w:rPr>
          <w:rFonts w:cs="Garamond" w:ascii="Garamond" w:hAnsi="Garamond"/>
          <w:sz w:val="24"/>
          <w:szCs w:val="24"/>
          <w:lang w:val="en-US"/>
        </w:rPr>
        <w:t>et</w:t>
      </w:r>
      <w:r>
        <w:rPr>
          <w:rFonts w:cs="Garamond" w:ascii="Garamond" w:hAnsi="Garamond"/>
          <w:sz w:val="24"/>
          <w:szCs w:val="24"/>
        </w:rPr>
        <w:t xml:space="preserve"> </w:t>
      </w:r>
      <w:r>
        <w:rPr>
          <w:rFonts w:cs="Garamond" w:ascii="Garamond" w:hAnsi="Garamond"/>
          <w:sz w:val="24"/>
          <w:szCs w:val="24"/>
          <w:lang w:val="en-US"/>
        </w:rPr>
        <w:t>al</w:t>
      </w:r>
      <w:r>
        <w:rPr>
          <w:rFonts w:cs="Garamond" w:ascii="Garamond" w:hAnsi="Garamond"/>
          <w:sz w:val="24"/>
          <w:szCs w:val="24"/>
        </w:rPr>
        <w:t>., 2008], имеющие аналоги еще в ряде точек южного Верхнего Египта [</w:t>
      </w:r>
      <w:r>
        <w:rPr>
          <w:rFonts w:cs="Garamond" w:ascii="Garamond" w:hAnsi="Garamond"/>
          <w:sz w:val="24"/>
          <w:szCs w:val="24"/>
          <w:lang w:val="en-US"/>
        </w:rPr>
        <w:t>Huyge</w:t>
      </w:r>
      <w:r>
        <w:rPr>
          <w:rFonts w:cs="Garamond" w:ascii="Garamond" w:hAnsi="Garamond"/>
          <w:sz w:val="24"/>
          <w:szCs w:val="24"/>
        </w:rPr>
        <w:t xml:space="preserve">, 2008; </w:t>
      </w:r>
      <w:r>
        <w:rPr>
          <w:rFonts w:cs="Garamond" w:ascii="Garamond" w:hAnsi="Garamond"/>
          <w:sz w:val="24"/>
          <w:szCs w:val="24"/>
          <w:lang w:val="en-US"/>
        </w:rPr>
        <w:t>Vermeersch</w:t>
      </w:r>
      <w:r>
        <w:rPr>
          <w:rFonts w:cs="Garamond" w:ascii="Garamond" w:hAnsi="Garamond"/>
          <w:sz w:val="24"/>
          <w:szCs w:val="24"/>
        </w:rPr>
        <w:t xml:space="preserve">, </w:t>
      </w:r>
      <w:r>
        <w:rPr>
          <w:rFonts w:cs="Garamond" w:ascii="Garamond" w:hAnsi="Garamond"/>
          <w:sz w:val="24"/>
          <w:szCs w:val="24"/>
          <w:lang w:val="en-US"/>
        </w:rPr>
        <w:t>van</w:t>
      </w:r>
      <w:r>
        <w:rPr>
          <w:rFonts w:cs="Garamond" w:ascii="Garamond" w:hAnsi="Garamond"/>
          <w:sz w:val="24"/>
          <w:szCs w:val="24"/>
        </w:rPr>
        <w:t xml:space="preserve"> </w:t>
      </w:r>
      <w:r>
        <w:rPr>
          <w:rFonts w:cs="Garamond" w:ascii="Garamond" w:hAnsi="Garamond"/>
          <w:sz w:val="24"/>
          <w:szCs w:val="24"/>
          <w:lang w:val="en-US"/>
        </w:rPr>
        <w:t>Neer</w:t>
      </w:r>
      <w:r>
        <w:rPr>
          <w:rFonts w:cs="Garamond" w:ascii="Garamond" w:hAnsi="Garamond"/>
          <w:sz w:val="24"/>
          <w:szCs w:val="24"/>
        </w:rPr>
        <w:t xml:space="preserve">, </w:t>
      </w:r>
      <w:r>
        <w:rPr>
          <w:rFonts w:cs="Garamond" w:ascii="Garamond" w:hAnsi="Garamond"/>
          <w:sz w:val="24"/>
          <w:szCs w:val="24"/>
          <w:lang w:val="en-US"/>
        </w:rPr>
        <w:t>Gullentops</w:t>
      </w:r>
      <w:r>
        <w:rPr>
          <w:rFonts w:cs="Garamond" w:ascii="Garamond" w:hAnsi="Garamond"/>
          <w:sz w:val="24"/>
          <w:szCs w:val="24"/>
        </w:rPr>
        <w:t>, 2006]. Независимо от данных оценок и суждений, внезапное прерывание древнейшей традиции наскального искусства Гарб Асуана на рубеже египетской додинастики и архаики (</w:t>
      </w:r>
      <w:r>
        <w:rPr>
          <w:rFonts w:cs="Garamond" w:ascii="Garamond" w:hAnsi="Garamond"/>
          <w:i/>
          <w:sz w:val="24"/>
          <w:szCs w:val="24"/>
        </w:rPr>
        <w:t>илл.</w:t>
      </w:r>
      <w:r>
        <w:rPr>
          <w:rFonts w:cs="Garamond" w:ascii="Garamond" w:hAnsi="Garamond"/>
          <w:i/>
          <w:sz w:val="24"/>
          <w:szCs w:val="24"/>
          <w:lang w:val="en-US"/>
        </w:rPr>
        <w:t> </w:t>
      </w:r>
      <w:r>
        <w:rPr>
          <w:rFonts w:cs="Garamond" w:ascii="Garamond" w:hAnsi="Garamond"/>
          <w:i/>
          <w:sz w:val="24"/>
          <w:szCs w:val="24"/>
        </w:rPr>
        <w:t>3</w:t>
      </w:r>
      <w:r>
        <w:rPr>
          <w:rFonts w:cs="Garamond" w:ascii="Garamond" w:hAnsi="Garamond"/>
          <w:sz w:val="24"/>
          <w:szCs w:val="24"/>
        </w:rPr>
        <w:t xml:space="preserve">) допустимо поставить в непосредственную связь с уходом нильских вод из вади и иных «бассейнов» береговой (ныне надпойменной) полосы в районе 1-го порога вследствие «неолитического спада» Реки во второй половине (ближе к концу) </w:t>
      </w:r>
      <w:r>
        <w:rPr>
          <w:rFonts w:cs="Garamond" w:ascii="Garamond" w:hAnsi="Garamond"/>
          <w:sz w:val="24"/>
          <w:szCs w:val="24"/>
          <w:lang w:val="en-US"/>
        </w:rPr>
        <w:t>IV </w:t>
      </w:r>
      <w:r>
        <w:rPr>
          <w:rFonts w:cs="Garamond" w:ascii="Garamond" w:hAnsi="Garamond"/>
          <w:sz w:val="24"/>
          <w:szCs w:val="24"/>
        </w:rPr>
        <w:t>тыс. до н. э., резко обнажившего «большие площади» ее среднеголоценового русла [</w:t>
      </w:r>
      <w:r>
        <w:rPr>
          <w:rFonts w:cs="Garamond" w:ascii="Garamond" w:hAnsi="Garamond"/>
          <w:sz w:val="24"/>
          <w:szCs w:val="24"/>
          <w:lang w:val="en-US"/>
        </w:rPr>
        <w:t>de</w:t>
      </w:r>
      <w:r>
        <w:rPr>
          <w:rFonts w:cs="Garamond" w:ascii="Garamond" w:hAnsi="Garamond"/>
          <w:sz w:val="24"/>
          <w:szCs w:val="24"/>
        </w:rPr>
        <w:t xml:space="preserve"> </w:t>
      </w:r>
      <w:r>
        <w:rPr>
          <w:rFonts w:cs="Garamond" w:ascii="Garamond" w:hAnsi="Garamond"/>
          <w:iCs/>
          <w:sz w:val="24"/>
          <w:szCs w:val="24"/>
          <w:lang w:val="en-US"/>
        </w:rPr>
        <w:t>Heinzelin</w:t>
      </w:r>
      <w:r>
        <w:rPr>
          <w:rFonts w:cs="Garamond" w:ascii="Garamond" w:hAnsi="Garamond"/>
          <w:sz w:val="24"/>
          <w:szCs w:val="24"/>
        </w:rPr>
        <w:t>, 1968].</w:t>
      </w:r>
    </w:p>
    <w:p>
      <w:pPr>
        <w:pStyle w:val="Normal"/>
        <w:autoSpaceDE w:val="false"/>
        <w:ind w:end="-31" w:hanging="0"/>
        <w:jc w:val="both"/>
        <w:rPr>
          <w:rFonts w:ascii="Garamond" w:hAnsi="Garamond" w:cs="Garamond"/>
          <w:sz w:val="16"/>
          <w:szCs w:val="16"/>
        </w:rPr>
      </w:pPr>
      <w:r>
        <w:rPr>
          <w:rFonts w:cs="Garamond" w:ascii="Garamond" w:hAnsi="Garamond"/>
          <w:sz w:val="16"/>
          <w:szCs w:val="16"/>
        </w:rPr>
      </w:r>
    </w:p>
    <w:p>
      <w:pPr>
        <w:pStyle w:val="Normal"/>
        <w:autoSpaceDE w:val="false"/>
        <w:ind w:end="-31" w:hanging="0"/>
        <w:jc w:val="center"/>
        <w:rPr>
          <w:rFonts w:ascii="Garamond" w:hAnsi="Garamond" w:cs="Garamond"/>
          <w:sz w:val="22"/>
          <w:szCs w:val="22"/>
          <w:lang w:val="en-US"/>
        </w:rPr>
      </w:pPr>
      <w:r>
        <w:rPr>
          <w:rFonts w:cs="Garamond" w:ascii="Garamond" w:hAnsi="Garamond"/>
          <w:sz w:val="22"/>
          <w:szCs w:val="22"/>
          <w:lang w:val="en-US"/>
        </w:rPr>
        <w:drawing>
          <wp:inline distT="0" distB="0" distL="0" distR="0">
            <wp:extent cx="5495290" cy="3009900"/>
            <wp:effectExtent l="0" t="0" r="0" b="0"/>
            <wp:docPr id="10"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7" descr="" title=""/>
                    <pic:cNvPicPr>
                      <a:picLocks noChangeAspect="1" noChangeArrowheads="1"/>
                    </pic:cNvPicPr>
                  </pic:nvPicPr>
                  <pic:blipFill>
                    <a:blip r:embed="rId11"/>
                    <a:srcRect l="-1" t="-1" r="-1" b="-1"/>
                    <a:stretch>
                      <a:fillRect/>
                    </a:stretch>
                  </pic:blipFill>
                  <pic:spPr bwMode="auto">
                    <a:xfrm>
                      <a:off x="0" y="0"/>
                      <a:ext cx="5495290" cy="3009900"/>
                    </a:xfrm>
                    <a:prstGeom prst="rect">
                      <a:avLst/>
                    </a:prstGeom>
                  </pic:spPr>
                </pic:pic>
              </a:graphicData>
            </a:graphic>
          </wp:inline>
        </w:drawing>
      </w:r>
    </w:p>
    <w:p>
      <w:pPr>
        <w:pStyle w:val="Normal"/>
        <w:ind w:end="-31" w:hanging="0"/>
        <w:jc w:val="center"/>
        <w:rPr>
          <w:rFonts w:ascii="Garamond" w:hAnsi="Garamond" w:cs="Garamond"/>
          <w:sz w:val="22"/>
          <w:szCs w:val="22"/>
          <w:lang w:val="en-US"/>
        </w:rPr>
      </w:pPr>
      <w:r>
        <w:rPr>
          <w:rFonts w:cs="Garamond" w:ascii="Garamond" w:hAnsi="Garamond"/>
          <w:i/>
          <w:sz w:val="22"/>
          <w:szCs w:val="22"/>
        </w:rPr>
        <w:t>Илл. 7.</w:t>
      </w:r>
      <w:r>
        <w:rPr>
          <w:rFonts w:cs="Garamond" w:ascii="Garamond" w:hAnsi="Garamond"/>
          <w:sz w:val="22"/>
          <w:szCs w:val="22"/>
        </w:rPr>
        <w:t xml:space="preserve"> Реконструкция позднепалеолитического «фьорда» в Вади Абу Субейра, Верхний Египет (по: </w:t>
      </w:r>
      <w:hyperlink r:id="rId12">
        <w:r>
          <w:rPr>
            <w:rStyle w:val="Style15"/>
            <w:rFonts w:cs="Garamond" w:ascii="Garamond" w:hAnsi="Garamond"/>
            <w:color w:val="000000"/>
            <w:sz w:val="22"/>
            <w:szCs w:val="22"/>
            <w:u w:val="none"/>
            <w:lang w:val="en-US"/>
          </w:rPr>
          <w:t>https</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per</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storemyr</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net</w:t>
        </w:r>
        <w:r>
          <w:rPr>
            <w:rStyle w:val="Style15"/>
            <w:rFonts w:cs="Garamond" w:ascii="Garamond" w:hAnsi="Garamond"/>
            <w:color w:val="000000"/>
            <w:sz w:val="22"/>
            <w:szCs w:val="22"/>
            <w:u w:val="none"/>
          </w:rPr>
          <w:t>/2012/05/01/</w:t>
        </w:r>
        <w:r>
          <w:rPr>
            <w:rStyle w:val="Style15"/>
            <w:rFonts w:cs="Garamond" w:ascii="Garamond" w:hAnsi="Garamond"/>
            <w:color w:val="000000"/>
            <w:sz w:val="22"/>
            <w:szCs w:val="22"/>
            <w:u w:val="none"/>
            <w:lang w:val="en-US"/>
          </w:rPr>
          <w:t>the</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palaeolithic</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rock</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art</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in</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wadi</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abu</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subeira</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egypt</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landscape</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archaeology</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threats</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and</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conservation</w:t>
        </w:r>
        <w:r>
          <w:rPr>
            <w:rStyle w:val="Style15"/>
            <w:rFonts w:cs="Garamond" w:ascii="Garamond" w:hAnsi="Garamond"/>
            <w:color w:val="000000"/>
            <w:sz w:val="22"/>
            <w:szCs w:val="22"/>
            <w:u w:val="none"/>
          </w:rPr>
          <w:t>/</w:t>
        </w:r>
      </w:hyperlink>
      <w:r>
        <w:rPr>
          <w:rFonts w:cs="Garamond" w:ascii="Garamond" w:hAnsi="Garamond"/>
          <w:sz w:val="22"/>
          <w:szCs w:val="22"/>
        </w:rPr>
        <w:t>)</w:t>
      </w:r>
    </w:p>
    <w:p>
      <w:pPr>
        <w:pStyle w:val="Normal"/>
        <w:ind w:end="-31" w:hanging="0"/>
        <w:jc w:val="both"/>
        <w:rPr>
          <w:rFonts w:ascii="Garamond" w:hAnsi="Garamond" w:cs="Garamond"/>
          <w:sz w:val="24"/>
          <w:szCs w:val="24"/>
          <w:lang w:val="en-US"/>
        </w:rPr>
      </w:pPr>
      <w:r>
        <w:rPr>
          <w:rFonts w:cs="Garamond" w:ascii="Garamond" w:hAnsi="Garamond"/>
          <w:sz w:val="24"/>
          <w:szCs w:val="24"/>
          <w:lang w:val="en-US"/>
        </w:rPr>
      </w:r>
    </w:p>
    <w:p>
      <w:pPr>
        <w:pStyle w:val="Normal"/>
        <w:ind w:end="-31" w:hanging="0"/>
        <w:jc w:val="both"/>
        <w:rPr>
          <w:rFonts w:ascii="Garamond" w:hAnsi="Garamond" w:cs="Garamond"/>
          <w:sz w:val="24"/>
          <w:szCs w:val="24"/>
        </w:rPr>
      </w:pPr>
      <w:r>
        <w:rPr>
          <w:rFonts w:cs="Garamond" w:ascii="Garamond" w:hAnsi="Garamond"/>
          <w:sz w:val="24"/>
          <w:szCs w:val="24"/>
        </w:rPr>
      </w:r>
    </w:p>
    <w:p>
      <w:pPr>
        <w:pStyle w:val="Normal"/>
        <w:ind w:start="720" w:end="-31" w:hanging="720"/>
        <w:jc w:val="center"/>
        <w:rPr>
          <w:rFonts w:ascii="Garamond" w:hAnsi="Garamond" w:cs="Garamond"/>
          <w:sz w:val="24"/>
          <w:szCs w:val="24"/>
        </w:rPr>
      </w:pPr>
      <w:r>
        <w:rPr>
          <w:rFonts w:cs="Garamond" w:ascii="Garamond" w:hAnsi="Garamond"/>
          <w:sz w:val="24"/>
          <w:szCs w:val="24"/>
        </w:rPr>
        <w:t xml:space="preserve">Литература / </w:t>
      </w:r>
      <w:r>
        <w:rPr>
          <w:rFonts w:cs="Garamond" w:ascii="Garamond" w:hAnsi="Garamond"/>
          <w:sz w:val="24"/>
          <w:szCs w:val="24"/>
          <w:lang w:val="en-US"/>
        </w:rPr>
        <w:t>References</w:t>
      </w:r>
    </w:p>
    <w:p>
      <w:pPr>
        <w:pStyle w:val="Normal"/>
        <w:ind w:start="720" w:end="-31" w:hanging="720"/>
        <w:jc w:val="both"/>
        <w:rPr>
          <w:rFonts w:ascii="Garamond" w:hAnsi="Garamond" w:cs="Garamond"/>
          <w:sz w:val="8"/>
          <w:szCs w:val="8"/>
          <w:lang w:val="en-US"/>
        </w:rPr>
      </w:pPr>
      <w:r>
        <w:rPr>
          <w:rFonts w:cs="Garamond" w:ascii="Garamond" w:hAnsi="Garamond"/>
          <w:sz w:val="8"/>
          <w:szCs w:val="8"/>
          <w:lang w:val="en-US"/>
        </w:rPr>
      </w:r>
    </w:p>
    <w:p>
      <w:pPr>
        <w:pStyle w:val="Normal"/>
        <w:ind w:start="720" w:end="-31" w:hanging="720"/>
        <w:jc w:val="both"/>
        <w:rPr/>
      </w:pPr>
      <w:r>
        <w:rPr>
          <w:rFonts w:cs="Garamond" w:ascii="Garamond" w:hAnsi="Garamond"/>
          <w:sz w:val="22"/>
          <w:szCs w:val="22"/>
        </w:rPr>
        <w:t xml:space="preserve">Большаков А. О. К чтению и идеологии хоровых имен первых царей Египта. Большаков А. О. (ред.). </w:t>
      </w:r>
      <w:r>
        <w:rPr>
          <w:rFonts w:cs="Garamond" w:ascii="Garamond" w:hAnsi="Garamond"/>
          <w:i/>
          <w:sz w:val="22"/>
          <w:szCs w:val="22"/>
        </w:rPr>
        <w:t>Петербургские</w:t>
      </w:r>
      <w:r>
        <w:rPr>
          <w:rFonts w:cs="Garamond" w:ascii="Garamond" w:hAnsi="Garamond"/>
          <w:i/>
          <w:sz w:val="22"/>
          <w:szCs w:val="22"/>
          <w:lang w:val="en-US"/>
        </w:rPr>
        <w:t xml:space="preserve"> </w:t>
      </w:r>
      <w:r>
        <w:rPr>
          <w:rFonts w:cs="Garamond" w:ascii="Garamond" w:hAnsi="Garamond"/>
          <w:i/>
          <w:sz w:val="22"/>
          <w:szCs w:val="22"/>
        </w:rPr>
        <w:t>египтологические</w:t>
      </w:r>
      <w:r>
        <w:rPr>
          <w:rFonts w:cs="Garamond" w:ascii="Garamond" w:hAnsi="Garamond"/>
          <w:i/>
          <w:sz w:val="22"/>
          <w:szCs w:val="22"/>
          <w:lang w:val="en-US"/>
        </w:rPr>
        <w:t xml:space="preserve"> </w:t>
      </w:r>
      <w:r>
        <w:rPr>
          <w:rFonts w:cs="Garamond" w:ascii="Garamond" w:hAnsi="Garamond"/>
          <w:i/>
          <w:sz w:val="22"/>
          <w:szCs w:val="22"/>
        </w:rPr>
        <w:t>чтения</w:t>
      </w:r>
      <w:r>
        <w:rPr>
          <w:rFonts w:cs="Garamond" w:ascii="Garamond" w:hAnsi="Garamond"/>
          <w:i/>
          <w:sz w:val="22"/>
          <w:szCs w:val="22"/>
          <w:lang w:val="en-US"/>
        </w:rPr>
        <w:t xml:space="preserve"> 2013–2014. </w:t>
      </w:r>
      <w:r>
        <w:rPr>
          <w:rFonts w:cs="Garamond" w:ascii="Garamond" w:hAnsi="Garamond"/>
          <w:i/>
          <w:sz w:val="22"/>
          <w:szCs w:val="22"/>
        </w:rPr>
        <w:t>Доклады</w:t>
      </w:r>
      <w:r>
        <w:rPr>
          <w:rFonts w:cs="Garamond" w:ascii="Garamond" w:hAnsi="Garamond"/>
          <w:sz w:val="22"/>
          <w:szCs w:val="22"/>
          <w:lang w:val="en-US"/>
        </w:rPr>
        <w:t xml:space="preserve">. </w:t>
      </w:r>
      <w:r>
        <w:rPr>
          <w:rFonts w:cs="Garamond" w:ascii="Garamond" w:hAnsi="Garamond"/>
          <w:sz w:val="22"/>
          <w:szCs w:val="22"/>
        </w:rPr>
        <w:t>СПб</w:t>
      </w:r>
      <w:r>
        <w:rPr>
          <w:rFonts w:cs="Garamond" w:ascii="Garamond" w:hAnsi="Garamond"/>
          <w:sz w:val="22"/>
          <w:szCs w:val="22"/>
          <w:lang w:val="en-US"/>
        </w:rPr>
        <w:t xml:space="preserve">., 2015. C. 24–37 [Bolshakov A. O. On the Reading and Interpretation of the Horus Names of the First Kings of Egypt. Bolshakov A. O. (ed.). </w:t>
      </w:r>
      <w:r>
        <w:rPr>
          <w:rFonts w:cs="Garamond" w:ascii="Garamond" w:hAnsi="Garamond"/>
          <w:i/>
          <w:sz w:val="22"/>
          <w:szCs w:val="22"/>
          <w:lang w:val="en-US"/>
        </w:rPr>
        <w:t>St. Petersburg Egyptological Readings 2013–2014. Papers of the Conference</w:t>
      </w:r>
      <w:r>
        <w:rPr>
          <w:rFonts w:cs="Garamond" w:ascii="Garamond" w:hAnsi="Garamond"/>
          <w:sz w:val="22"/>
          <w:szCs w:val="22"/>
          <w:lang w:val="en-US"/>
        </w:rPr>
        <w:t>. St. Petersburg, 2015. Pp</w:t>
      </w:r>
      <w:r>
        <w:rPr>
          <w:rFonts w:cs="Garamond" w:ascii="Garamond" w:hAnsi="Garamond"/>
          <w:sz w:val="22"/>
          <w:szCs w:val="22"/>
        </w:rPr>
        <w:t>. 24–37 (</w:t>
      </w:r>
      <w:r>
        <w:rPr>
          <w:rFonts w:cs="Garamond" w:ascii="Garamond" w:hAnsi="Garamond"/>
          <w:sz w:val="22"/>
          <w:szCs w:val="22"/>
          <w:lang w:val="en-US"/>
        </w:rPr>
        <w:t>in</w:t>
      </w:r>
      <w:r>
        <w:rPr>
          <w:rFonts w:cs="Garamond" w:ascii="Garamond" w:hAnsi="Garamond"/>
          <w:sz w:val="22"/>
          <w:szCs w:val="22"/>
        </w:rPr>
        <w:t xml:space="preserve"> </w:t>
      </w:r>
      <w:r>
        <w:rPr>
          <w:rFonts w:cs="Garamond" w:ascii="Garamond" w:hAnsi="Garamond"/>
          <w:sz w:val="22"/>
          <w:szCs w:val="22"/>
          <w:lang w:val="en-US"/>
        </w:rPr>
        <w:t>Russian</w:t>
      </w:r>
      <w:r>
        <w:rPr>
          <w:rFonts w:cs="Garamond" w:ascii="Garamond" w:hAnsi="Garamond"/>
          <w:sz w:val="22"/>
          <w:szCs w:val="22"/>
        </w:rPr>
        <w:t>)].</w:t>
      </w:r>
    </w:p>
    <w:p>
      <w:pPr>
        <w:pStyle w:val="Normal"/>
        <w:ind w:start="720" w:end="-31" w:hanging="720"/>
        <w:jc w:val="both"/>
        <w:rPr/>
      </w:pPr>
      <w:r>
        <w:rPr>
          <w:rFonts w:cs="Garamond" w:ascii="Garamond" w:hAnsi="Garamond"/>
          <w:sz w:val="22"/>
          <w:szCs w:val="22"/>
        </w:rPr>
        <w:t xml:space="preserve">Клименко В. В. </w:t>
      </w:r>
      <w:r>
        <w:rPr>
          <w:rFonts w:cs="Garamond" w:ascii="Garamond" w:hAnsi="Garamond"/>
          <w:i/>
          <w:sz w:val="22"/>
          <w:szCs w:val="22"/>
        </w:rPr>
        <w:t>Климат: непрочитанная глава истории</w:t>
      </w:r>
      <w:r>
        <w:rPr>
          <w:rFonts w:cs="Garamond" w:ascii="Garamond" w:hAnsi="Garamond"/>
          <w:sz w:val="22"/>
          <w:szCs w:val="22"/>
        </w:rPr>
        <w:t>. М</w:t>
      </w:r>
      <w:r>
        <w:rPr>
          <w:rFonts w:cs="Garamond" w:ascii="Garamond" w:hAnsi="Garamond"/>
          <w:sz w:val="22"/>
          <w:szCs w:val="22"/>
          <w:lang w:val="en-US"/>
        </w:rPr>
        <w:t xml:space="preserve">., 2009 [Klimenko V. V. </w:t>
      </w:r>
      <w:r>
        <w:rPr>
          <w:rFonts w:cs="Garamond" w:ascii="Garamond" w:hAnsi="Garamond"/>
          <w:i/>
          <w:sz w:val="22"/>
          <w:szCs w:val="22"/>
          <w:lang w:val="en-US"/>
        </w:rPr>
        <w:t>Climate: An Unread Chapter of the History</w:t>
      </w:r>
      <w:r>
        <w:rPr>
          <w:rFonts w:cs="Garamond" w:ascii="Garamond" w:hAnsi="Garamond"/>
          <w:sz w:val="22"/>
          <w:szCs w:val="22"/>
          <w:lang w:val="en-US"/>
        </w:rPr>
        <w:t>. Moscow</w:t>
      </w:r>
      <w:r>
        <w:rPr>
          <w:rFonts w:cs="Garamond" w:ascii="Garamond" w:hAnsi="Garamond"/>
          <w:sz w:val="22"/>
          <w:szCs w:val="22"/>
        </w:rPr>
        <w:t>, 2009 (</w:t>
      </w:r>
      <w:r>
        <w:rPr>
          <w:rFonts w:cs="Garamond" w:ascii="Garamond" w:hAnsi="Garamond"/>
          <w:sz w:val="22"/>
          <w:szCs w:val="22"/>
          <w:lang w:val="en-US"/>
        </w:rPr>
        <w:t>in</w:t>
      </w:r>
      <w:r>
        <w:rPr>
          <w:rFonts w:cs="Garamond" w:ascii="Garamond" w:hAnsi="Garamond"/>
          <w:sz w:val="22"/>
          <w:szCs w:val="22"/>
        </w:rPr>
        <w:t xml:space="preserve"> </w:t>
      </w:r>
      <w:r>
        <w:rPr>
          <w:rFonts w:cs="Garamond" w:ascii="Garamond" w:hAnsi="Garamond"/>
          <w:sz w:val="22"/>
          <w:szCs w:val="22"/>
          <w:lang w:val="en-US"/>
        </w:rPr>
        <w:t>Russian</w:t>
      </w:r>
      <w:r>
        <w:rPr>
          <w:rFonts w:cs="Garamond" w:ascii="Garamond" w:hAnsi="Garamond"/>
          <w:sz w:val="22"/>
          <w:szCs w:val="22"/>
        </w:rPr>
        <w:t>)].</w:t>
      </w:r>
    </w:p>
    <w:p>
      <w:pPr>
        <w:pStyle w:val="Normal"/>
        <w:ind w:start="720" w:end="-31" w:hanging="720"/>
        <w:jc w:val="both"/>
        <w:rPr/>
      </w:pPr>
      <w:r>
        <w:rPr>
          <w:rFonts w:cs="Garamond" w:ascii="Garamond" w:hAnsi="Garamond"/>
          <w:sz w:val="22"/>
          <w:szCs w:val="22"/>
        </w:rPr>
        <w:t xml:space="preserve">Клименко В. В. О главных климатических ритмах голоцена. </w:t>
      </w:r>
      <w:r>
        <w:rPr>
          <w:rFonts w:cs="Garamond" w:ascii="Garamond" w:hAnsi="Garamond"/>
          <w:i/>
          <w:sz w:val="22"/>
          <w:szCs w:val="22"/>
        </w:rPr>
        <w:t>Доклады Академии наук</w:t>
      </w:r>
      <w:r>
        <w:rPr>
          <w:rFonts w:cs="Garamond" w:ascii="Garamond" w:hAnsi="Garamond"/>
          <w:iCs/>
          <w:sz w:val="22"/>
          <w:szCs w:val="22"/>
        </w:rPr>
        <w:t xml:space="preserve">. </w:t>
      </w:r>
      <w:r>
        <w:rPr>
          <w:rFonts w:cs="Garamond" w:ascii="Garamond" w:hAnsi="Garamond"/>
          <w:iCs/>
          <w:sz w:val="22"/>
          <w:szCs w:val="22"/>
          <w:lang w:val="en-US"/>
        </w:rPr>
        <w:t>1997.</w:t>
      </w:r>
      <w:r>
        <w:rPr>
          <w:rFonts w:cs="Garamond" w:ascii="Garamond" w:hAnsi="Garamond"/>
          <w:sz w:val="22"/>
          <w:szCs w:val="22"/>
          <w:lang w:val="en-US"/>
        </w:rPr>
        <w:t xml:space="preserve"> 357. </w:t>
      </w:r>
      <w:r>
        <w:rPr>
          <w:rFonts w:cs="Garamond" w:ascii="Garamond" w:hAnsi="Garamond"/>
          <w:sz w:val="22"/>
          <w:szCs w:val="22"/>
        </w:rPr>
        <w:t>С</w:t>
      </w:r>
      <w:r>
        <w:rPr>
          <w:rFonts w:cs="Garamond" w:ascii="Garamond" w:hAnsi="Garamond"/>
          <w:sz w:val="22"/>
          <w:szCs w:val="22"/>
          <w:lang w:val="en-US"/>
        </w:rPr>
        <w:t xml:space="preserve">. 399–402 [Klimenko V. V. Principal Climatic Rhythms of the Holocene. </w:t>
      </w:r>
      <w:r>
        <w:rPr>
          <w:rFonts w:cs="Garamond" w:ascii="Garamond" w:hAnsi="Garamond"/>
          <w:i/>
          <w:sz w:val="22"/>
          <w:szCs w:val="22"/>
          <w:lang w:val="en-US"/>
        </w:rPr>
        <w:t>Doklady Akademii nauk (Transactions of the Russian Academy of Sciences)</w:t>
      </w:r>
      <w:r>
        <w:rPr>
          <w:rFonts w:cs="Garamond" w:ascii="Garamond" w:hAnsi="Garamond"/>
          <w:sz w:val="22"/>
          <w:szCs w:val="22"/>
          <w:lang w:val="en-US"/>
        </w:rPr>
        <w:t xml:space="preserve">. </w:t>
      </w:r>
      <w:r>
        <w:rPr>
          <w:rFonts w:cs="Garamond" w:ascii="Garamond" w:hAnsi="Garamond"/>
          <w:sz w:val="22"/>
          <w:szCs w:val="22"/>
        </w:rPr>
        <w:t xml:space="preserve">1997. 357.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399–402 (</w:t>
      </w:r>
      <w:r>
        <w:rPr>
          <w:rFonts w:cs="Garamond" w:ascii="Garamond" w:hAnsi="Garamond"/>
          <w:sz w:val="22"/>
          <w:szCs w:val="22"/>
          <w:lang w:val="en-US"/>
        </w:rPr>
        <w:t>in</w:t>
      </w:r>
      <w:r>
        <w:rPr>
          <w:rFonts w:cs="Garamond" w:ascii="Garamond" w:hAnsi="Garamond"/>
          <w:sz w:val="22"/>
          <w:szCs w:val="22"/>
        </w:rPr>
        <w:t xml:space="preserve"> </w:t>
      </w:r>
      <w:r>
        <w:rPr>
          <w:rFonts w:cs="Garamond" w:ascii="Garamond" w:hAnsi="Garamond"/>
          <w:sz w:val="22"/>
          <w:szCs w:val="22"/>
          <w:lang w:val="en-US"/>
        </w:rPr>
        <w:t>Russian</w:t>
      </w:r>
      <w:r>
        <w:rPr>
          <w:rFonts w:cs="Garamond" w:ascii="Garamond" w:hAnsi="Garamond"/>
          <w:sz w:val="22"/>
          <w:szCs w:val="22"/>
        </w:rPr>
        <w:t>)].</w:t>
      </w:r>
    </w:p>
    <w:p>
      <w:pPr>
        <w:pStyle w:val="Normal"/>
        <w:ind w:start="720" w:end="-31" w:hanging="720"/>
        <w:jc w:val="both"/>
        <w:rPr/>
      </w:pPr>
      <w:r>
        <w:rPr>
          <w:rFonts w:cs="Garamond" w:ascii="Garamond" w:hAnsi="Garamond"/>
          <w:sz w:val="22"/>
          <w:szCs w:val="22"/>
        </w:rPr>
        <w:t xml:space="preserve">Маловицкий Я. П., Чумаков И. С., Шимкус К. М., Есина Л. А., Москаленко В. Н. </w:t>
      </w:r>
      <w:r>
        <w:rPr>
          <w:rFonts w:cs="Garamond" w:ascii="Garamond" w:hAnsi="Garamond"/>
          <w:i/>
          <w:sz w:val="22"/>
          <w:szCs w:val="22"/>
        </w:rPr>
        <w:t>Земная кора и история развития Средиземного моря</w:t>
      </w:r>
      <w:r>
        <w:rPr>
          <w:rFonts w:cs="Garamond" w:ascii="Garamond" w:hAnsi="Garamond"/>
          <w:sz w:val="22"/>
          <w:szCs w:val="22"/>
        </w:rPr>
        <w:t>. М</w:t>
      </w:r>
      <w:r>
        <w:rPr>
          <w:rFonts w:cs="Garamond" w:ascii="Garamond" w:hAnsi="Garamond"/>
          <w:sz w:val="22"/>
          <w:szCs w:val="22"/>
          <w:lang w:val="en-US"/>
        </w:rPr>
        <w:t xml:space="preserve">., 1982 [Malovitsky Ya. P., Chumakov I. S., Shimkus K. M., Esina L. A., Moskalenko V. N. </w:t>
      </w:r>
      <w:r>
        <w:rPr>
          <w:rFonts w:cs="Garamond" w:ascii="Garamond" w:hAnsi="Garamond"/>
          <w:i/>
          <w:sz w:val="22"/>
          <w:szCs w:val="22"/>
          <w:lang w:val="en-US"/>
        </w:rPr>
        <w:t>The Earth Crust and the History of the Development of the Mediterranean Sea</w:t>
      </w:r>
      <w:r>
        <w:rPr>
          <w:rFonts w:cs="Garamond" w:ascii="Garamond" w:hAnsi="Garamond"/>
          <w:sz w:val="22"/>
          <w:szCs w:val="22"/>
          <w:lang w:val="en-US"/>
        </w:rPr>
        <w:t>. Moscow, 1982 (in Russian)].</w:t>
      </w:r>
    </w:p>
    <w:p>
      <w:pPr>
        <w:pStyle w:val="Normal"/>
        <w:ind w:start="720" w:end="-31" w:hanging="720"/>
        <w:jc w:val="both"/>
        <w:rPr/>
      </w:pPr>
      <w:r>
        <w:rPr>
          <w:rFonts w:cs="Garamond" w:ascii="Garamond" w:hAnsi="Garamond"/>
          <w:sz w:val="22"/>
          <w:szCs w:val="22"/>
        </w:rPr>
        <w:t xml:space="preserve">Монин А. С., Шишков Ю. А. </w:t>
      </w:r>
      <w:r>
        <w:rPr>
          <w:rFonts w:cs="Garamond" w:ascii="Garamond" w:hAnsi="Garamond"/>
          <w:i/>
          <w:sz w:val="22"/>
          <w:szCs w:val="22"/>
        </w:rPr>
        <w:t>История климата</w:t>
      </w:r>
      <w:r>
        <w:rPr>
          <w:rFonts w:cs="Garamond" w:ascii="Garamond" w:hAnsi="Garamond"/>
          <w:sz w:val="22"/>
          <w:szCs w:val="22"/>
        </w:rPr>
        <w:t>. Л</w:t>
      </w:r>
      <w:r>
        <w:rPr>
          <w:rFonts w:cs="Garamond" w:ascii="Garamond" w:hAnsi="Garamond"/>
          <w:sz w:val="22"/>
          <w:szCs w:val="22"/>
          <w:lang w:val="en-US"/>
        </w:rPr>
        <w:t xml:space="preserve">., 1979 [Monin A. S., Shishkov Yu. A. </w:t>
      </w:r>
      <w:r>
        <w:rPr>
          <w:rFonts w:cs="Garamond" w:ascii="Garamond" w:hAnsi="Garamond"/>
          <w:i/>
          <w:sz w:val="22"/>
          <w:szCs w:val="22"/>
          <w:lang w:val="en-US"/>
        </w:rPr>
        <w:t>The History of Climate</w:t>
      </w:r>
      <w:r>
        <w:rPr>
          <w:rFonts w:cs="Garamond" w:ascii="Garamond" w:hAnsi="Garamond"/>
          <w:sz w:val="22"/>
          <w:szCs w:val="22"/>
          <w:lang w:val="en-US"/>
        </w:rPr>
        <w:t>. Leningrad</w:t>
      </w:r>
      <w:r>
        <w:rPr>
          <w:rFonts w:cs="Garamond" w:ascii="Garamond" w:hAnsi="Garamond"/>
          <w:sz w:val="22"/>
          <w:szCs w:val="22"/>
        </w:rPr>
        <w:t>, 1979 (</w:t>
      </w:r>
      <w:r>
        <w:rPr>
          <w:rFonts w:cs="Garamond" w:ascii="Garamond" w:hAnsi="Garamond"/>
          <w:sz w:val="22"/>
          <w:szCs w:val="22"/>
          <w:lang w:val="en-US"/>
        </w:rPr>
        <w:t>in</w:t>
      </w:r>
      <w:r>
        <w:rPr>
          <w:rFonts w:cs="Garamond" w:ascii="Garamond" w:hAnsi="Garamond"/>
          <w:sz w:val="22"/>
          <w:szCs w:val="22"/>
        </w:rPr>
        <w:t xml:space="preserve"> </w:t>
      </w:r>
      <w:r>
        <w:rPr>
          <w:rFonts w:cs="Garamond" w:ascii="Garamond" w:hAnsi="Garamond"/>
          <w:sz w:val="22"/>
          <w:szCs w:val="22"/>
          <w:lang w:val="en-US"/>
        </w:rPr>
        <w:t>Russian</w:t>
      </w:r>
      <w:r>
        <w:rPr>
          <w:rFonts w:cs="Garamond" w:ascii="Garamond" w:hAnsi="Garamond"/>
          <w:sz w:val="22"/>
          <w:szCs w:val="22"/>
        </w:rPr>
        <w:t>)].</w:t>
      </w:r>
    </w:p>
    <w:p>
      <w:pPr>
        <w:pStyle w:val="Normal"/>
        <w:ind w:start="720" w:end="-31" w:hanging="720"/>
        <w:jc w:val="both"/>
        <w:rPr/>
      </w:pPr>
      <w:r>
        <w:rPr>
          <w:rFonts w:cs="Garamond" w:ascii="Garamond" w:hAnsi="Garamond"/>
          <w:sz w:val="22"/>
          <w:szCs w:val="22"/>
        </w:rPr>
        <w:t xml:space="preserve">Прусаков Д. Б. «Голоценовое море» в Среднем Египте: к независимым обоснованиям гипотезы. </w:t>
      </w:r>
      <w:r>
        <w:rPr>
          <w:rFonts w:cs="Garamond" w:ascii="Garamond" w:hAnsi="Garamond"/>
          <w:i/>
          <w:sz w:val="22"/>
          <w:szCs w:val="22"/>
        </w:rPr>
        <w:t>Вестник Института востоковедения РАН</w:t>
      </w:r>
      <w:r>
        <w:rPr>
          <w:rFonts w:cs="Garamond" w:ascii="Garamond" w:hAnsi="Garamond"/>
          <w:sz w:val="22"/>
          <w:szCs w:val="22"/>
        </w:rPr>
        <w:t xml:space="preserve">. 2018(б). </w:t>
      </w:r>
      <w:r>
        <w:rPr>
          <w:rFonts w:cs="Garamond" w:ascii="Garamond" w:hAnsi="Garamond"/>
          <w:sz w:val="22"/>
          <w:szCs w:val="22"/>
          <w:lang w:val="en-US"/>
        </w:rPr>
        <w:t xml:space="preserve">№ 6. </w:t>
      </w:r>
      <w:r>
        <w:rPr>
          <w:rFonts w:cs="Garamond" w:ascii="Garamond" w:hAnsi="Garamond"/>
          <w:sz w:val="22"/>
          <w:szCs w:val="22"/>
        </w:rPr>
        <w:t>С</w:t>
      </w:r>
      <w:r>
        <w:rPr>
          <w:rFonts w:cs="Garamond" w:ascii="Garamond" w:hAnsi="Garamond"/>
          <w:sz w:val="22"/>
          <w:szCs w:val="22"/>
          <w:lang w:val="en-US"/>
        </w:rPr>
        <w:t xml:space="preserve">. 72–85 [Proussakov D. B. A “Holocene Sea” in Middle Egypt: Independent Validations of the Hypothesis. </w:t>
      </w:r>
      <w:r>
        <w:rPr>
          <w:rFonts w:cs="Garamond" w:ascii="Garamond" w:hAnsi="Garamond"/>
          <w:i/>
          <w:sz w:val="22"/>
          <w:szCs w:val="22"/>
          <w:lang w:val="en-US"/>
        </w:rPr>
        <w:t>Vestnik Instituta vostokovedenija RAN</w:t>
      </w:r>
      <w:r>
        <w:rPr>
          <w:rFonts w:cs="Garamond" w:ascii="Garamond" w:hAnsi="Garamond"/>
          <w:sz w:val="22"/>
          <w:szCs w:val="22"/>
          <w:lang w:val="en-US"/>
        </w:rPr>
        <w:t>. 2018(b). 6. 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72–85 (</w:t>
      </w:r>
      <w:r>
        <w:rPr>
          <w:rFonts w:cs="Garamond" w:ascii="Garamond" w:hAnsi="Garamond"/>
          <w:sz w:val="22"/>
          <w:szCs w:val="22"/>
          <w:lang w:val="en-US"/>
        </w:rPr>
        <w:t>in</w:t>
      </w:r>
      <w:r>
        <w:rPr>
          <w:rFonts w:cs="Garamond" w:ascii="Garamond" w:hAnsi="Garamond"/>
          <w:sz w:val="22"/>
          <w:szCs w:val="22"/>
        </w:rPr>
        <w:t> </w:t>
      </w:r>
      <w:r>
        <w:rPr>
          <w:rFonts w:cs="Garamond" w:ascii="Garamond" w:hAnsi="Garamond"/>
          <w:sz w:val="22"/>
          <w:szCs w:val="22"/>
          <w:lang w:val="en-US"/>
        </w:rPr>
        <w:t>Russian</w:t>
      </w:r>
      <w:r>
        <w:rPr>
          <w:rFonts w:cs="Garamond" w:ascii="Garamond" w:hAnsi="Garamond"/>
          <w:sz w:val="22"/>
          <w:szCs w:val="22"/>
        </w:rPr>
        <w:t>)].</w:t>
      </w:r>
    </w:p>
    <w:p>
      <w:pPr>
        <w:pStyle w:val="Normal"/>
        <w:ind w:start="720" w:end="-31" w:hanging="720"/>
        <w:jc w:val="both"/>
        <w:rPr/>
      </w:pPr>
      <w:r>
        <w:rPr>
          <w:rFonts w:cs="Garamond" w:ascii="Garamond" w:hAnsi="Garamond"/>
          <w:sz w:val="22"/>
          <w:szCs w:val="22"/>
        </w:rPr>
        <w:t xml:space="preserve">Прусаков Д. Б. «Звериный стиль» до фараонов: египетская додинастическая наскальная и ремесленная изобразительность как палеогеографический источник (возвращение к проблеме). </w:t>
      </w:r>
      <w:r>
        <w:rPr>
          <w:rFonts w:cs="Garamond" w:ascii="Garamond" w:hAnsi="Garamond"/>
          <w:i/>
          <w:sz w:val="22"/>
          <w:szCs w:val="22"/>
        </w:rPr>
        <w:t>Ориенталистика</w:t>
      </w:r>
      <w:r>
        <w:rPr>
          <w:rFonts w:cs="Garamond" w:ascii="Garamond" w:hAnsi="Garamond"/>
          <w:sz w:val="22"/>
          <w:szCs w:val="22"/>
        </w:rPr>
        <w:t xml:space="preserve">. </w:t>
      </w:r>
      <w:r>
        <w:rPr>
          <w:rFonts w:cs="Garamond" w:ascii="Garamond" w:hAnsi="Garamond"/>
          <w:sz w:val="22"/>
          <w:szCs w:val="22"/>
          <w:lang w:val="en-US"/>
        </w:rPr>
        <w:t>2019(</w:t>
      </w:r>
      <w:r>
        <w:rPr>
          <w:rFonts w:cs="Garamond" w:ascii="Garamond" w:hAnsi="Garamond"/>
          <w:sz w:val="22"/>
          <w:szCs w:val="22"/>
        </w:rPr>
        <w:t>б</w:t>
      </w:r>
      <w:r>
        <w:rPr>
          <w:rFonts w:cs="Garamond" w:ascii="Garamond" w:hAnsi="Garamond"/>
          <w:sz w:val="22"/>
          <w:szCs w:val="22"/>
          <w:lang w:val="en-US"/>
        </w:rPr>
        <w:t xml:space="preserve">). № 2 (3). </w:t>
      </w:r>
      <w:r>
        <w:rPr>
          <w:rFonts w:cs="Garamond" w:ascii="Garamond" w:hAnsi="Garamond"/>
          <w:sz w:val="22"/>
          <w:szCs w:val="22"/>
        </w:rPr>
        <w:t>С</w:t>
      </w:r>
      <w:r>
        <w:rPr>
          <w:rFonts w:cs="Garamond" w:ascii="Garamond" w:hAnsi="Garamond"/>
          <w:sz w:val="22"/>
          <w:szCs w:val="22"/>
          <w:lang w:val="en-US"/>
        </w:rPr>
        <w:t xml:space="preserve">. 493–538 [Proussakov D. B. “Animal Style” Before the Pharaohs: Egyptian Predynastic Rock-Art and Handicraft Representationism as a Palaeogeographical Source (Return to the Problem). </w:t>
      </w:r>
      <w:r>
        <w:rPr>
          <w:rFonts w:cs="Garamond" w:ascii="Garamond" w:hAnsi="Garamond"/>
          <w:i/>
          <w:sz w:val="22"/>
          <w:szCs w:val="22"/>
          <w:lang w:val="en-US"/>
        </w:rPr>
        <w:t>Orientalistica</w:t>
      </w:r>
      <w:r>
        <w:rPr>
          <w:rFonts w:cs="Garamond" w:ascii="Garamond" w:hAnsi="Garamond"/>
          <w:sz w:val="22"/>
          <w:szCs w:val="22"/>
          <w:lang w:val="en-US"/>
        </w:rPr>
        <w:t xml:space="preserve">. </w:t>
      </w:r>
      <w:r>
        <w:rPr>
          <w:rFonts w:cs="Garamond" w:ascii="Garamond" w:hAnsi="Garamond"/>
          <w:sz w:val="22"/>
          <w:szCs w:val="22"/>
        </w:rPr>
        <w:t>2019(</w:t>
      </w:r>
      <w:r>
        <w:rPr>
          <w:rFonts w:cs="Garamond" w:ascii="Garamond" w:hAnsi="Garamond"/>
          <w:sz w:val="22"/>
          <w:szCs w:val="22"/>
          <w:lang w:val="en-US"/>
        </w:rPr>
        <w:t>b</w:t>
      </w:r>
      <w:r>
        <w:rPr>
          <w:rFonts w:cs="Garamond" w:ascii="Garamond" w:hAnsi="Garamond"/>
          <w:sz w:val="22"/>
          <w:szCs w:val="22"/>
        </w:rPr>
        <w:t xml:space="preserve">). 2 (3). </w:t>
      </w:r>
      <w:r>
        <w:rPr>
          <w:rFonts w:cs="Garamond" w:ascii="Garamond" w:hAnsi="Garamond"/>
          <w:sz w:val="22"/>
          <w:szCs w:val="22"/>
          <w:lang w:val="en-US"/>
        </w:rPr>
        <w:t>Pp</w:t>
      </w:r>
      <w:r>
        <w:rPr>
          <w:rFonts w:cs="Garamond" w:ascii="Garamond" w:hAnsi="Garamond"/>
          <w:sz w:val="22"/>
          <w:szCs w:val="22"/>
        </w:rPr>
        <w:t>. 493–538 (</w:t>
      </w:r>
      <w:r>
        <w:rPr>
          <w:rFonts w:cs="Garamond" w:ascii="Garamond" w:hAnsi="Garamond"/>
          <w:sz w:val="22"/>
          <w:szCs w:val="22"/>
          <w:lang w:val="en-US"/>
        </w:rPr>
        <w:t>in</w:t>
      </w:r>
      <w:r>
        <w:rPr>
          <w:rFonts w:cs="Garamond" w:ascii="Garamond" w:hAnsi="Garamond"/>
          <w:sz w:val="22"/>
          <w:szCs w:val="22"/>
        </w:rPr>
        <w:t> </w:t>
      </w:r>
      <w:r>
        <w:rPr>
          <w:rFonts w:cs="Garamond" w:ascii="Garamond" w:hAnsi="Garamond"/>
          <w:sz w:val="22"/>
          <w:szCs w:val="22"/>
          <w:lang w:val="en-US"/>
        </w:rPr>
        <w:t>Russian</w:t>
      </w:r>
      <w:r>
        <w:rPr>
          <w:rFonts w:cs="Garamond" w:ascii="Garamond" w:hAnsi="Garamond"/>
          <w:sz w:val="22"/>
          <w:szCs w:val="22"/>
        </w:rPr>
        <w:t>)].</w:t>
      </w:r>
    </w:p>
    <w:p>
      <w:pPr>
        <w:pStyle w:val="Normal"/>
        <w:ind w:start="720" w:end="-31" w:hanging="720"/>
        <w:jc w:val="both"/>
        <w:rPr/>
      </w:pPr>
      <w:r>
        <w:rPr>
          <w:rFonts w:cs="Garamond" w:ascii="Garamond" w:hAnsi="Garamond"/>
          <w:sz w:val="22"/>
          <w:szCs w:val="22"/>
        </w:rPr>
        <w:t>Прусаков Д. Б. Гипотеза о «Земле излияния Реки»: к предыстории 1-го порога в контексте гидрологии среднеголоценового Нила. Часть</w:t>
      </w:r>
      <w:r>
        <w:rPr>
          <w:rFonts w:cs="Garamond" w:ascii="Garamond" w:hAnsi="Garamond"/>
          <w:sz w:val="22"/>
          <w:szCs w:val="22"/>
          <w:lang w:val="en-US"/>
        </w:rPr>
        <w:t xml:space="preserve"> I. </w:t>
      </w:r>
      <w:r>
        <w:rPr>
          <w:rFonts w:cs="Garamond" w:ascii="Garamond" w:hAnsi="Garamond"/>
          <w:i/>
          <w:sz w:val="22"/>
          <w:szCs w:val="22"/>
        </w:rPr>
        <w:t>Вестник</w:t>
      </w:r>
      <w:r>
        <w:rPr>
          <w:rFonts w:cs="Garamond" w:ascii="Garamond" w:hAnsi="Garamond"/>
          <w:i/>
          <w:sz w:val="22"/>
          <w:szCs w:val="22"/>
          <w:lang w:val="en-US"/>
        </w:rPr>
        <w:t xml:space="preserve"> </w:t>
      </w:r>
      <w:r>
        <w:rPr>
          <w:rFonts w:cs="Garamond" w:ascii="Garamond" w:hAnsi="Garamond"/>
          <w:i/>
          <w:sz w:val="22"/>
          <w:szCs w:val="22"/>
        </w:rPr>
        <w:t>Института</w:t>
      </w:r>
      <w:r>
        <w:rPr>
          <w:rFonts w:cs="Garamond" w:ascii="Garamond" w:hAnsi="Garamond"/>
          <w:i/>
          <w:sz w:val="22"/>
          <w:szCs w:val="22"/>
          <w:lang w:val="en-US"/>
        </w:rPr>
        <w:t xml:space="preserve"> </w:t>
      </w:r>
      <w:r>
        <w:rPr>
          <w:rFonts w:cs="Garamond" w:ascii="Garamond" w:hAnsi="Garamond"/>
          <w:i/>
          <w:sz w:val="22"/>
          <w:szCs w:val="22"/>
        </w:rPr>
        <w:t>востоковедения</w:t>
      </w:r>
      <w:r>
        <w:rPr>
          <w:rFonts w:cs="Garamond" w:ascii="Garamond" w:hAnsi="Garamond"/>
          <w:i/>
          <w:sz w:val="22"/>
          <w:szCs w:val="22"/>
          <w:lang w:val="en-US"/>
        </w:rPr>
        <w:t xml:space="preserve"> </w:t>
      </w:r>
      <w:r>
        <w:rPr>
          <w:rFonts w:cs="Garamond" w:ascii="Garamond" w:hAnsi="Garamond"/>
          <w:i/>
          <w:sz w:val="22"/>
          <w:szCs w:val="22"/>
        </w:rPr>
        <w:t>РАН</w:t>
      </w:r>
      <w:r>
        <w:rPr>
          <w:rFonts w:cs="Garamond" w:ascii="Garamond" w:hAnsi="Garamond"/>
          <w:sz w:val="22"/>
          <w:szCs w:val="22"/>
          <w:lang w:val="en-US"/>
        </w:rPr>
        <w:t>. 2019(</w:t>
      </w:r>
      <w:r>
        <w:rPr>
          <w:rFonts w:cs="Garamond" w:ascii="Garamond" w:hAnsi="Garamond"/>
          <w:sz w:val="22"/>
          <w:szCs w:val="22"/>
        </w:rPr>
        <w:t>а</w:t>
      </w:r>
      <w:r>
        <w:rPr>
          <w:rFonts w:cs="Garamond" w:ascii="Garamond" w:hAnsi="Garamond"/>
          <w:sz w:val="22"/>
          <w:szCs w:val="22"/>
          <w:lang w:val="en-US"/>
        </w:rPr>
        <w:t xml:space="preserve">). № 3. </w:t>
      </w:r>
      <w:r>
        <w:rPr>
          <w:rFonts w:cs="Garamond" w:ascii="Garamond" w:hAnsi="Garamond"/>
          <w:sz w:val="22"/>
          <w:szCs w:val="22"/>
        </w:rPr>
        <w:t>С</w:t>
      </w:r>
      <w:r>
        <w:rPr>
          <w:rFonts w:cs="Garamond" w:ascii="Garamond" w:hAnsi="Garamond"/>
          <w:sz w:val="22"/>
          <w:szCs w:val="22"/>
          <w:lang w:val="en-US"/>
        </w:rPr>
        <w:t xml:space="preserve">. 12–31 [Proussakov D. B. The Hypothesis of the “Land of Outpouring of the River”: On the Prehistory of the First Cataract in the Context of Hydrology of the Mid-Holocene Nile. Part I. </w:t>
      </w:r>
      <w:r>
        <w:rPr>
          <w:rFonts w:cs="Garamond" w:ascii="Garamond" w:hAnsi="Garamond"/>
          <w:i/>
          <w:sz w:val="22"/>
          <w:szCs w:val="22"/>
          <w:lang w:val="en-US"/>
        </w:rPr>
        <w:t>Vestnik Instituta vostokovedenija RAN</w:t>
      </w:r>
      <w:r>
        <w:rPr>
          <w:rFonts w:cs="Garamond" w:ascii="Garamond" w:hAnsi="Garamond"/>
          <w:sz w:val="22"/>
          <w:szCs w:val="22"/>
          <w:lang w:val="en-US"/>
        </w:rPr>
        <w:t>. 2019(</w:t>
      </w:r>
      <w:r>
        <w:rPr>
          <w:rFonts w:cs="Garamond" w:ascii="Garamond" w:hAnsi="Garamond"/>
          <w:sz w:val="22"/>
          <w:szCs w:val="22"/>
        </w:rPr>
        <w:t>а</w:t>
      </w:r>
      <w:r>
        <w:rPr>
          <w:rFonts w:cs="Garamond" w:ascii="Garamond" w:hAnsi="Garamond"/>
          <w:sz w:val="22"/>
          <w:szCs w:val="22"/>
          <w:lang w:val="en-US"/>
        </w:rPr>
        <w:t>). 3. 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12–31 (</w:t>
      </w:r>
      <w:r>
        <w:rPr>
          <w:rFonts w:cs="Garamond" w:ascii="Garamond" w:hAnsi="Garamond"/>
          <w:sz w:val="22"/>
          <w:szCs w:val="22"/>
          <w:lang w:val="en-US"/>
        </w:rPr>
        <w:t>in</w:t>
      </w:r>
      <w:r>
        <w:rPr>
          <w:rFonts w:cs="Garamond" w:ascii="Garamond" w:hAnsi="Garamond"/>
          <w:sz w:val="22"/>
          <w:szCs w:val="22"/>
        </w:rPr>
        <w:t xml:space="preserve"> </w:t>
      </w:r>
      <w:r>
        <w:rPr>
          <w:rFonts w:cs="Garamond" w:ascii="Garamond" w:hAnsi="Garamond"/>
          <w:sz w:val="22"/>
          <w:szCs w:val="22"/>
          <w:lang w:val="en-US"/>
        </w:rPr>
        <w:t>Russian</w:t>
      </w:r>
      <w:r>
        <w:rPr>
          <w:rFonts w:cs="Garamond" w:ascii="Garamond" w:hAnsi="Garamond"/>
          <w:sz w:val="22"/>
          <w:szCs w:val="22"/>
        </w:rPr>
        <w:t>)].</w:t>
      </w:r>
    </w:p>
    <w:p>
      <w:pPr>
        <w:pStyle w:val="Normal"/>
        <w:ind w:start="720" w:end="-31" w:hanging="720"/>
        <w:jc w:val="both"/>
        <w:rPr/>
      </w:pPr>
      <w:r>
        <w:rPr>
          <w:rFonts w:cs="Garamond" w:ascii="Garamond" w:hAnsi="Garamond"/>
          <w:sz w:val="22"/>
          <w:szCs w:val="22"/>
        </w:rPr>
        <w:t xml:space="preserve">Прусаков Д. Б. </w:t>
      </w:r>
      <w:r>
        <w:rPr>
          <w:rFonts w:cs="Garamond" w:ascii="Garamond" w:hAnsi="Garamond"/>
          <w:i/>
          <w:sz w:val="22"/>
          <w:szCs w:val="22"/>
        </w:rPr>
        <w:t>Додинастический Египет: лодка у истоков цивилизации</w:t>
      </w:r>
      <w:r>
        <w:rPr>
          <w:rFonts w:cs="Garamond" w:ascii="Garamond" w:hAnsi="Garamond"/>
          <w:sz w:val="22"/>
          <w:szCs w:val="22"/>
        </w:rPr>
        <w:t>. М</w:t>
      </w:r>
      <w:r>
        <w:rPr>
          <w:rFonts w:cs="Garamond" w:ascii="Garamond" w:hAnsi="Garamond"/>
          <w:sz w:val="22"/>
          <w:szCs w:val="22"/>
          <w:lang w:val="en-US"/>
        </w:rPr>
        <w:t xml:space="preserve">., 2015. [Proussakov D. B. </w:t>
      </w:r>
      <w:r>
        <w:rPr>
          <w:rFonts w:cs="Garamond" w:ascii="Garamond" w:hAnsi="Garamond"/>
          <w:i/>
          <w:sz w:val="22"/>
          <w:szCs w:val="22"/>
          <w:lang w:val="en-US"/>
        </w:rPr>
        <w:t>Predynastic Egypt: The Boat at the Origins of Civilization</w:t>
      </w:r>
      <w:r>
        <w:rPr>
          <w:rFonts w:cs="Garamond" w:ascii="Garamond" w:hAnsi="Garamond"/>
          <w:sz w:val="22"/>
          <w:szCs w:val="22"/>
          <w:lang w:val="en-US"/>
        </w:rPr>
        <w:t>. Moscow</w:t>
      </w:r>
      <w:r>
        <w:rPr>
          <w:rFonts w:cs="Garamond" w:ascii="Garamond" w:hAnsi="Garamond"/>
          <w:sz w:val="22"/>
          <w:szCs w:val="22"/>
        </w:rPr>
        <w:t>, 2015 (</w:t>
      </w:r>
      <w:r>
        <w:rPr>
          <w:rFonts w:cs="Garamond" w:ascii="Garamond" w:hAnsi="Garamond"/>
          <w:sz w:val="22"/>
          <w:szCs w:val="22"/>
          <w:lang w:val="en-US"/>
        </w:rPr>
        <w:t>in</w:t>
      </w:r>
      <w:r>
        <w:rPr>
          <w:rFonts w:cs="Garamond" w:ascii="Garamond" w:hAnsi="Garamond"/>
          <w:sz w:val="22"/>
          <w:szCs w:val="22"/>
        </w:rPr>
        <w:t xml:space="preserve"> </w:t>
      </w:r>
      <w:r>
        <w:rPr>
          <w:rFonts w:cs="Garamond" w:ascii="Garamond" w:hAnsi="Garamond"/>
          <w:sz w:val="22"/>
          <w:szCs w:val="22"/>
          <w:lang w:val="en-US"/>
        </w:rPr>
        <w:t>Russian</w:t>
      </w:r>
      <w:r>
        <w:rPr>
          <w:rFonts w:cs="Garamond" w:ascii="Garamond" w:hAnsi="Garamond"/>
          <w:sz w:val="22"/>
          <w:szCs w:val="22"/>
        </w:rPr>
        <w:t>)].</w:t>
      </w:r>
    </w:p>
    <w:p>
      <w:pPr>
        <w:pStyle w:val="Normal"/>
        <w:ind w:start="720" w:end="-31" w:hanging="720"/>
        <w:jc w:val="both"/>
        <w:rPr/>
      </w:pPr>
      <w:r>
        <w:rPr>
          <w:rFonts w:cs="Garamond" w:ascii="Garamond" w:hAnsi="Garamond"/>
          <w:sz w:val="22"/>
          <w:szCs w:val="22"/>
        </w:rPr>
        <w:t xml:space="preserve">Прусаков Д. Б. </w:t>
      </w:r>
      <w:r>
        <w:rPr>
          <w:rFonts w:cs="Garamond" w:ascii="Garamond" w:hAnsi="Garamond"/>
          <w:i/>
          <w:sz w:val="22"/>
          <w:szCs w:val="22"/>
        </w:rPr>
        <w:t>Древний Египет: почва цивилизации (этюд о неолитической революции)</w:t>
      </w:r>
      <w:r>
        <w:rPr>
          <w:rFonts w:cs="Garamond" w:ascii="Garamond" w:hAnsi="Garamond"/>
          <w:sz w:val="22"/>
          <w:szCs w:val="22"/>
        </w:rPr>
        <w:t>. М</w:t>
      </w:r>
      <w:r>
        <w:rPr>
          <w:rFonts w:cs="Garamond" w:ascii="Garamond" w:hAnsi="Garamond"/>
          <w:sz w:val="22"/>
          <w:szCs w:val="22"/>
          <w:lang w:val="en-US"/>
        </w:rPr>
        <w:t xml:space="preserve">., 2009 [Proussakov D. B. </w:t>
      </w:r>
      <w:r>
        <w:rPr>
          <w:rFonts w:cs="Garamond" w:ascii="Garamond" w:hAnsi="Garamond"/>
          <w:i/>
          <w:sz w:val="22"/>
          <w:szCs w:val="22"/>
          <w:lang w:val="en-US"/>
        </w:rPr>
        <w:t>Ancient Egypt: Soil of the Civilization (an Essay on the Neolithic Revolution)</w:t>
      </w:r>
      <w:r>
        <w:rPr>
          <w:rFonts w:cs="Garamond" w:ascii="Garamond" w:hAnsi="Garamond"/>
          <w:sz w:val="22"/>
          <w:szCs w:val="22"/>
          <w:lang w:val="en-US"/>
        </w:rPr>
        <w:t>. Moscow</w:t>
      </w:r>
      <w:r>
        <w:rPr>
          <w:rFonts w:cs="Garamond" w:ascii="Garamond" w:hAnsi="Garamond"/>
          <w:sz w:val="22"/>
          <w:szCs w:val="22"/>
        </w:rPr>
        <w:t>, 2009 (</w:t>
      </w:r>
      <w:r>
        <w:rPr>
          <w:rFonts w:cs="Garamond" w:ascii="Garamond" w:hAnsi="Garamond"/>
          <w:sz w:val="22"/>
          <w:szCs w:val="22"/>
          <w:lang w:val="en-US"/>
        </w:rPr>
        <w:t>in</w:t>
      </w:r>
      <w:r>
        <w:rPr>
          <w:rFonts w:cs="Garamond" w:ascii="Garamond" w:hAnsi="Garamond"/>
          <w:sz w:val="22"/>
          <w:szCs w:val="22"/>
        </w:rPr>
        <w:t xml:space="preserve"> </w:t>
      </w:r>
      <w:r>
        <w:rPr>
          <w:rFonts w:cs="Garamond" w:ascii="Garamond" w:hAnsi="Garamond"/>
          <w:sz w:val="22"/>
          <w:szCs w:val="22"/>
          <w:lang w:val="en-US"/>
        </w:rPr>
        <w:t>Russian</w:t>
      </w:r>
      <w:r>
        <w:rPr>
          <w:rFonts w:cs="Garamond" w:ascii="Garamond" w:hAnsi="Garamond"/>
          <w:sz w:val="22"/>
          <w:szCs w:val="22"/>
        </w:rPr>
        <w:t>)].</w:t>
      </w:r>
    </w:p>
    <w:p>
      <w:pPr>
        <w:pStyle w:val="Normal"/>
        <w:ind w:start="720" w:end="-31" w:hanging="720"/>
        <w:jc w:val="both"/>
        <w:rPr/>
      </w:pPr>
      <w:r>
        <w:rPr>
          <w:rFonts w:cs="Garamond" w:ascii="Garamond" w:hAnsi="Garamond"/>
          <w:sz w:val="22"/>
          <w:szCs w:val="22"/>
        </w:rPr>
        <w:t xml:space="preserve">Прусаков Д. Б. Об одной «фикции» Палермского камня. </w:t>
      </w:r>
      <w:r>
        <w:rPr>
          <w:rFonts w:cs="Garamond" w:ascii="Garamond" w:hAnsi="Garamond"/>
          <w:i/>
          <w:sz w:val="22"/>
          <w:szCs w:val="22"/>
        </w:rPr>
        <w:t>Вестник древней истории</w:t>
      </w:r>
      <w:r>
        <w:rPr>
          <w:rFonts w:cs="Garamond" w:ascii="Garamond" w:hAnsi="Garamond"/>
          <w:sz w:val="22"/>
          <w:szCs w:val="22"/>
        </w:rPr>
        <w:t xml:space="preserve">. </w:t>
      </w:r>
      <w:r>
        <w:rPr>
          <w:rFonts w:cs="Garamond" w:ascii="Garamond" w:hAnsi="Garamond"/>
          <w:sz w:val="22"/>
          <w:szCs w:val="22"/>
          <w:lang w:val="en-US"/>
        </w:rPr>
        <w:t xml:space="preserve">1996. № 3. </w:t>
      </w:r>
      <w:r>
        <w:rPr>
          <w:rFonts w:cs="Garamond" w:ascii="Garamond" w:hAnsi="Garamond"/>
          <w:sz w:val="22"/>
          <w:szCs w:val="22"/>
        </w:rPr>
        <w:t>С</w:t>
      </w:r>
      <w:r>
        <w:rPr>
          <w:rFonts w:cs="Garamond" w:ascii="Garamond" w:hAnsi="Garamond"/>
          <w:sz w:val="22"/>
          <w:szCs w:val="22"/>
          <w:lang w:val="en-US"/>
        </w:rPr>
        <w:t xml:space="preserve">. 73–76 [Proussakov D. B. On Some “Fiction” of the Palermo Stone. </w:t>
      </w:r>
      <w:r>
        <w:rPr>
          <w:rFonts w:cs="Garamond" w:ascii="Garamond" w:hAnsi="Garamond"/>
          <w:i/>
          <w:sz w:val="22"/>
          <w:szCs w:val="22"/>
          <w:lang w:val="en-US"/>
        </w:rPr>
        <w:t>Vestnik drevnei istorii</w:t>
      </w:r>
      <w:r>
        <w:rPr>
          <w:rFonts w:cs="Garamond" w:ascii="Garamond" w:hAnsi="Garamond"/>
          <w:sz w:val="22"/>
          <w:szCs w:val="22"/>
          <w:lang w:val="en-US"/>
        </w:rPr>
        <w:t xml:space="preserve">. </w:t>
      </w:r>
      <w:r>
        <w:rPr>
          <w:rFonts w:cs="Garamond" w:ascii="Garamond" w:hAnsi="Garamond"/>
          <w:sz w:val="22"/>
          <w:szCs w:val="22"/>
        </w:rPr>
        <w:t xml:space="preserve">1996. 3. </w:t>
      </w:r>
      <w:r>
        <w:rPr>
          <w:rFonts w:cs="Garamond" w:ascii="Garamond" w:hAnsi="Garamond"/>
          <w:sz w:val="22"/>
          <w:szCs w:val="22"/>
          <w:lang w:val="en-US"/>
        </w:rPr>
        <w:t>Pp</w:t>
      </w:r>
      <w:r>
        <w:rPr>
          <w:rFonts w:cs="Garamond" w:ascii="Garamond" w:hAnsi="Garamond"/>
          <w:sz w:val="22"/>
          <w:szCs w:val="22"/>
        </w:rPr>
        <w:t>. 73–76 (</w:t>
      </w:r>
      <w:r>
        <w:rPr>
          <w:rFonts w:cs="Garamond" w:ascii="Garamond" w:hAnsi="Garamond"/>
          <w:sz w:val="22"/>
          <w:szCs w:val="22"/>
          <w:lang w:val="en-US"/>
        </w:rPr>
        <w:t>in</w:t>
      </w:r>
      <w:r>
        <w:rPr>
          <w:rFonts w:cs="Garamond" w:ascii="Garamond" w:hAnsi="Garamond"/>
          <w:sz w:val="22"/>
          <w:szCs w:val="22"/>
        </w:rPr>
        <w:t> </w:t>
      </w:r>
      <w:r>
        <w:rPr>
          <w:rFonts w:cs="Garamond" w:ascii="Garamond" w:hAnsi="Garamond"/>
          <w:sz w:val="22"/>
          <w:szCs w:val="22"/>
          <w:lang w:val="en-US"/>
        </w:rPr>
        <w:t>Russian</w:t>
      </w:r>
      <w:r>
        <w:rPr>
          <w:rFonts w:cs="Garamond" w:ascii="Garamond" w:hAnsi="Garamond"/>
          <w:sz w:val="22"/>
          <w:szCs w:val="22"/>
        </w:rPr>
        <w:t>)].</w:t>
      </w:r>
    </w:p>
    <w:p>
      <w:pPr>
        <w:pStyle w:val="Normal"/>
        <w:ind w:start="720" w:end="-31" w:hanging="720"/>
        <w:jc w:val="both"/>
        <w:rPr/>
      </w:pPr>
      <w:r>
        <w:rPr>
          <w:rFonts w:cs="Garamond" w:ascii="Garamond" w:hAnsi="Garamond"/>
          <w:sz w:val="22"/>
          <w:szCs w:val="22"/>
        </w:rPr>
        <w:t xml:space="preserve">Прусаков Д. Б. Озера на доисторическом Ниле: «гидрологические» перспективы египетской археологии. </w:t>
      </w:r>
      <w:r>
        <w:rPr>
          <w:rFonts w:cs="Garamond" w:ascii="Garamond" w:hAnsi="Garamond"/>
          <w:i/>
          <w:sz w:val="22"/>
          <w:szCs w:val="22"/>
        </w:rPr>
        <w:t>Вестник Института востоковедения РАН</w:t>
      </w:r>
      <w:r>
        <w:rPr>
          <w:rFonts w:cs="Garamond" w:ascii="Garamond" w:hAnsi="Garamond"/>
          <w:sz w:val="22"/>
          <w:szCs w:val="22"/>
        </w:rPr>
        <w:t xml:space="preserve">. 2018(а). </w:t>
      </w:r>
      <w:r>
        <w:rPr>
          <w:rFonts w:cs="Garamond" w:ascii="Garamond" w:hAnsi="Garamond"/>
          <w:sz w:val="22"/>
          <w:szCs w:val="22"/>
          <w:lang w:val="en-US"/>
        </w:rPr>
        <w:t xml:space="preserve">№ 1. </w:t>
      </w:r>
      <w:r>
        <w:rPr>
          <w:rFonts w:cs="Garamond" w:ascii="Garamond" w:hAnsi="Garamond"/>
          <w:sz w:val="22"/>
          <w:szCs w:val="22"/>
        </w:rPr>
        <w:t>С</w:t>
      </w:r>
      <w:r>
        <w:rPr>
          <w:rFonts w:cs="Garamond" w:ascii="Garamond" w:hAnsi="Garamond"/>
          <w:sz w:val="22"/>
          <w:szCs w:val="22"/>
          <w:lang w:val="en-US"/>
        </w:rPr>
        <w:t xml:space="preserve">. 70–80 [Proussakov D. B. Lakes on the Prehistoric River Nile: “Hydrological” Outlook for Egyptian Archaeology. </w:t>
      </w:r>
      <w:r>
        <w:rPr>
          <w:rFonts w:cs="Garamond" w:ascii="Garamond" w:hAnsi="Garamond"/>
          <w:i/>
          <w:sz w:val="22"/>
          <w:szCs w:val="22"/>
          <w:lang w:val="en-US"/>
        </w:rPr>
        <w:t>Vestnik</w:t>
      </w:r>
      <w:r>
        <w:rPr>
          <w:rFonts w:cs="Garamond" w:ascii="Garamond" w:hAnsi="Garamond"/>
          <w:i/>
          <w:sz w:val="22"/>
          <w:szCs w:val="22"/>
        </w:rPr>
        <w:t xml:space="preserve"> </w:t>
      </w:r>
      <w:r>
        <w:rPr>
          <w:rFonts w:cs="Garamond" w:ascii="Garamond" w:hAnsi="Garamond"/>
          <w:i/>
          <w:sz w:val="22"/>
          <w:szCs w:val="22"/>
          <w:lang w:val="en-US"/>
        </w:rPr>
        <w:t>Instituta</w:t>
      </w:r>
      <w:r>
        <w:rPr>
          <w:rFonts w:cs="Garamond" w:ascii="Garamond" w:hAnsi="Garamond"/>
          <w:i/>
          <w:sz w:val="22"/>
          <w:szCs w:val="22"/>
        </w:rPr>
        <w:t xml:space="preserve"> </w:t>
      </w:r>
      <w:r>
        <w:rPr>
          <w:rFonts w:cs="Garamond" w:ascii="Garamond" w:hAnsi="Garamond"/>
          <w:i/>
          <w:sz w:val="22"/>
          <w:szCs w:val="22"/>
          <w:lang w:val="en-US"/>
        </w:rPr>
        <w:t>vostokovedenija</w:t>
      </w:r>
      <w:r>
        <w:rPr>
          <w:rFonts w:cs="Garamond" w:ascii="Garamond" w:hAnsi="Garamond"/>
          <w:i/>
          <w:sz w:val="22"/>
          <w:szCs w:val="22"/>
        </w:rPr>
        <w:t xml:space="preserve"> </w:t>
      </w:r>
      <w:r>
        <w:rPr>
          <w:rFonts w:cs="Garamond" w:ascii="Garamond" w:hAnsi="Garamond"/>
          <w:i/>
          <w:sz w:val="22"/>
          <w:szCs w:val="22"/>
          <w:lang w:val="en-US"/>
        </w:rPr>
        <w:t>RAN</w:t>
      </w:r>
      <w:r>
        <w:rPr>
          <w:rFonts w:cs="Garamond" w:ascii="Garamond" w:hAnsi="Garamond"/>
          <w:sz w:val="22"/>
          <w:szCs w:val="22"/>
        </w:rPr>
        <w:t xml:space="preserve">. 2018(а). 1.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70–80 (</w:t>
      </w:r>
      <w:r>
        <w:rPr>
          <w:rFonts w:cs="Garamond" w:ascii="Garamond" w:hAnsi="Garamond"/>
          <w:sz w:val="22"/>
          <w:szCs w:val="22"/>
          <w:lang w:val="en-US"/>
        </w:rPr>
        <w:t>in</w:t>
      </w:r>
      <w:r>
        <w:rPr>
          <w:rFonts w:cs="Garamond" w:ascii="Garamond" w:hAnsi="Garamond"/>
          <w:sz w:val="22"/>
          <w:szCs w:val="22"/>
        </w:rPr>
        <w:t xml:space="preserve"> </w:t>
      </w:r>
      <w:r>
        <w:rPr>
          <w:rFonts w:cs="Garamond" w:ascii="Garamond" w:hAnsi="Garamond"/>
          <w:sz w:val="22"/>
          <w:szCs w:val="22"/>
          <w:lang w:val="en-US"/>
        </w:rPr>
        <w:t>Russian</w:t>
      </w:r>
      <w:r>
        <w:rPr>
          <w:rFonts w:cs="Garamond" w:ascii="Garamond" w:hAnsi="Garamond"/>
          <w:sz w:val="22"/>
          <w:szCs w:val="22"/>
        </w:rPr>
        <w:t>)].</w:t>
      </w:r>
    </w:p>
    <w:p>
      <w:pPr>
        <w:pStyle w:val="Normal"/>
        <w:ind w:start="720" w:end="-31" w:hanging="720"/>
        <w:jc w:val="both"/>
        <w:rPr/>
      </w:pPr>
      <w:r>
        <w:rPr>
          <w:rFonts w:cs="Garamond" w:ascii="Garamond" w:hAnsi="Garamond"/>
          <w:sz w:val="22"/>
          <w:szCs w:val="22"/>
        </w:rPr>
        <w:t xml:space="preserve">Чумаков И. С. </w:t>
      </w:r>
      <w:r>
        <w:rPr>
          <w:rFonts w:cs="Garamond" w:ascii="Garamond" w:hAnsi="Garamond"/>
          <w:i/>
          <w:sz w:val="22"/>
          <w:szCs w:val="22"/>
        </w:rPr>
        <w:t>Плиоценовые и плейстоценовые отложения долины Нила в Нубии и Верхнем Египте</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М</w:t>
      </w:r>
      <w:r>
        <w:rPr>
          <w:rFonts w:cs="Garamond" w:ascii="Garamond" w:hAnsi="Garamond"/>
          <w:sz w:val="22"/>
          <w:szCs w:val="22"/>
          <w:lang w:val="en-US"/>
        </w:rPr>
        <w:t>., 1967 [Chumakov I. S. Pliocene and Pleistocene Deposits of the Nile Valley in Nubia and Upper Egypt. Moscow, 1967 (in Russian)].</w:t>
      </w:r>
    </w:p>
    <w:p>
      <w:pPr>
        <w:pStyle w:val="Normal"/>
        <w:ind w:start="720" w:end="-31" w:hanging="720"/>
        <w:jc w:val="both"/>
        <w:rPr/>
      </w:pPr>
      <w:r>
        <w:rPr>
          <w:rFonts w:cs="Garamond" w:ascii="Garamond" w:hAnsi="Garamond"/>
          <w:sz w:val="22"/>
          <w:szCs w:val="22"/>
          <w:lang w:val="en-US"/>
        </w:rPr>
        <w:t xml:space="preserve">Adamson D. A., Gasse F., Street F. A., Williams M. A. J. Late Quaternary History of the Nile. </w:t>
      </w:r>
      <w:r>
        <w:rPr>
          <w:rFonts w:cs="Garamond" w:ascii="Garamond" w:hAnsi="Garamond"/>
          <w:i/>
          <w:sz w:val="22"/>
          <w:szCs w:val="22"/>
          <w:lang w:val="en-US"/>
        </w:rPr>
        <w:t>Nature</w:t>
      </w:r>
      <w:r>
        <w:rPr>
          <w:rFonts w:cs="Garamond" w:ascii="Garamond" w:hAnsi="Garamond"/>
          <w:sz w:val="22"/>
          <w:szCs w:val="22"/>
          <w:lang w:val="en-US"/>
        </w:rPr>
        <w:t xml:space="preserve">. </w:t>
      </w:r>
      <w:r>
        <w:rPr>
          <w:rFonts w:cs="Garamond" w:ascii="Garamond" w:hAnsi="Garamond"/>
          <w:sz w:val="22"/>
          <w:szCs w:val="22"/>
          <w:lang w:val="it-IT"/>
        </w:rPr>
        <w:t>1980. 288. Pp. 50–55.</w:t>
      </w:r>
    </w:p>
    <w:p>
      <w:pPr>
        <w:pStyle w:val="Normal"/>
        <w:ind w:start="720" w:end="-31" w:hanging="720"/>
        <w:jc w:val="both"/>
        <w:rPr/>
      </w:pPr>
      <w:r>
        <w:rPr>
          <w:rFonts w:cs="Garamond" w:ascii="Garamond" w:hAnsi="Garamond"/>
          <w:sz w:val="22"/>
          <w:szCs w:val="22"/>
          <w:lang w:val="it-IT"/>
        </w:rPr>
        <w:t>Almagro Basch M., Almagro Gorbea M.</w:t>
      </w:r>
      <w:r>
        <w:rPr>
          <w:rFonts w:cs="Garamond" w:ascii="Garamond" w:hAnsi="Garamond"/>
          <w:i/>
          <w:sz w:val="22"/>
          <w:szCs w:val="22"/>
          <w:lang w:val="it-IT"/>
        </w:rPr>
        <w:t xml:space="preserve"> Estudios de arte rupestre nubio. </w:t>
      </w:r>
      <w:r>
        <w:rPr>
          <w:rFonts w:cs="Garamond" w:ascii="Garamond" w:hAnsi="Garamond"/>
          <w:sz w:val="22"/>
          <w:szCs w:val="22"/>
          <w:lang w:val="it-IT"/>
        </w:rPr>
        <w:t>I.</w:t>
      </w:r>
      <w:r>
        <w:rPr>
          <w:rFonts w:cs="Garamond" w:ascii="Garamond" w:hAnsi="Garamond"/>
          <w:i/>
          <w:sz w:val="22"/>
          <w:szCs w:val="22"/>
          <w:lang w:val="it-IT"/>
        </w:rPr>
        <w:t xml:space="preserve"> Yacimientos situados en la orilla oriental del Nilo, entre Nag Kolorodna y Kars Ibrim (Nubia egipcia).</w:t>
      </w:r>
      <w:r>
        <w:rPr>
          <w:rFonts w:cs="Garamond" w:ascii="Garamond" w:hAnsi="Garamond"/>
          <w:sz w:val="22"/>
          <w:szCs w:val="22"/>
          <w:lang w:val="it-IT"/>
        </w:rPr>
        <w:t xml:space="preserve"> Madrid, 1968.</w:t>
      </w:r>
    </w:p>
    <w:p>
      <w:pPr>
        <w:pStyle w:val="Normal"/>
        <w:ind w:start="720" w:end="-31" w:hanging="720"/>
        <w:jc w:val="both"/>
        <w:rPr/>
      </w:pPr>
      <w:r>
        <w:rPr>
          <w:rFonts w:cs="Garamond" w:ascii="Garamond" w:hAnsi="Garamond"/>
          <w:sz w:val="22"/>
          <w:szCs w:val="22"/>
          <w:lang w:val="en-US"/>
        </w:rPr>
        <w:t xml:space="preserve">Arkell A. J. </w:t>
      </w:r>
      <w:r>
        <w:rPr>
          <w:rFonts w:cs="Garamond" w:ascii="Garamond" w:hAnsi="Garamond"/>
          <w:i/>
          <w:sz w:val="22"/>
          <w:szCs w:val="22"/>
          <w:lang w:val="en-US"/>
        </w:rPr>
        <w:t>The Prehistory of the Nile Valley</w:t>
      </w:r>
      <w:r>
        <w:rPr>
          <w:rFonts w:cs="Garamond" w:ascii="Garamond" w:hAnsi="Garamond"/>
          <w:sz w:val="22"/>
          <w:szCs w:val="22"/>
          <w:lang w:val="en-US"/>
        </w:rPr>
        <w:t>. Leiden, 1975.</w:t>
      </w:r>
    </w:p>
    <w:p>
      <w:pPr>
        <w:pStyle w:val="Normal"/>
        <w:ind w:start="720" w:end="-31" w:hanging="720"/>
        <w:jc w:val="both"/>
        <w:rPr/>
      </w:pPr>
      <w:r>
        <w:rPr>
          <w:rFonts w:cs="Garamond" w:ascii="Garamond" w:hAnsi="Garamond"/>
          <w:sz w:val="22"/>
          <w:szCs w:val="22"/>
          <w:lang w:val="it-IT"/>
        </w:rPr>
        <w:t xml:space="preserve">Arkell A. J. Varia Sudanica. </w:t>
      </w:r>
      <w:r>
        <w:rPr>
          <w:rFonts w:cs="Garamond" w:ascii="Garamond" w:hAnsi="Garamond"/>
          <w:i/>
          <w:sz w:val="22"/>
          <w:szCs w:val="22"/>
          <w:lang w:val="en-US"/>
        </w:rPr>
        <w:t>Journal of Egyptian Archaeology</w:t>
      </w:r>
      <w:r>
        <w:rPr>
          <w:rFonts w:cs="Garamond" w:ascii="Garamond" w:hAnsi="Garamond"/>
          <w:sz w:val="22"/>
          <w:szCs w:val="22"/>
          <w:lang w:val="en-US"/>
        </w:rPr>
        <w:t xml:space="preserve">. </w:t>
      </w:r>
      <w:r>
        <w:rPr>
          <w:rFonts w:cs="Garamond" w:ascii="Garamond" w:hAnsi="Garamond"/>
          <w:sz w:val="22"/>
          <w:szCs w:val="22"/>
          <w:lang w:val="de-DE"/>
        </w:rPr>
        <w:t>1950. 36. Pp. 24–40.</w:t>
      </w:r>
    </w:p>
    <w:p>
      <w:pPr>
        <w:pStyle w:val="Normal"/>
        <w:ind w:start="720" w:end="-31" w:hanging="720"/>
        <w:jc w:val="both"/>
        <w:rPr/>
      </w:pPr>
      <w:r>
        <w:rPr>
          <w:rFonts w:cs="Garamond" w:ascii="Garamond" w:hAnsi="Garamond"/>
          <w:iCs/>
          <w:sz w:val="22"/>
          <w:szCs w:val="22"/>
          <w:lang w:val="de-DE"/>
        </w:rPr>
        <w:t>Arldt T. Zur Pal</w:t>
      </w:r>
      <w:r>
        <w:rPr>
          <w:rFonts w:cs="Garamond" w:ascii="Garamond" w:hAnsi="Garamond"/>
          <w:sz w:val="22"/>
          <w:szCs w:val="22"/>
          <w:lang w:val="de-DE"/>
        </w:rPr>
        <w:t>ä</w:t>
      </w:r>
      <w:r>
        <w:rPr>
          <w:rFonts w:cs="Garamond" w:ascii="Garamond" w:hAnsi="Garamond"/>
          <w:iCs/>
          <w:sz w:val="22"/>
          <w:szCs w:val="22"/>
          <w:lang w:val="de-DE"/>
        </w:rPr>
        <w:t>ogeographie des Nillandes in Kreide und Terti</w:t>
      </w:r>
      <w:r>
        <w:rPr>
          <w:rFonts w:cs="Garamond" w:ascii="Garamond" w:hAnsi="Garamond"/>
          <w:sz w:val="22"/>
          <w:szCs w:val="22"/>
          <w:lang w:val="de-DE"/>
        </w:rPr>
        <w:t>ä</w:t>
      </w:r>
      <w:r>
        <w:rPr>
          <w:rFonts w:cs="Garamond" w:ascii="Garamond" w:hAnsi="Garamond"/>
          <w:iCs/>
          <w:sz w:val="22"/>
          <w:szCs w:val="22"/>
          <w:lang w:val="de-DE"/>
        </w:rPr>
        <w:t xml:space="preserve">r. </w:t>
      </w:r>
      <w:r>
        <w:rPr>
          <w:rFonts w:cs="Garamond" w:ascii="Garamond" w:hAnsi="Garamond"/>
          <w:i/>
          <w:iCs/>
          <w:sz w:val="22"/>
          <w:szCs w:val="22"/>
          <w:lang w:val="de-DE"/>
        </w:rPr>
        <w:t>Geologische Rundschau</w:t>
      </w:r>
      <w:r>
        <w:rPr>
          <w:rFonts w:cs="Garamond" w:ascii="Garamond" w:hAnsi="Garamond"/>
          <w:iCs/>
          <w:sz w:val="22"/>
          <w:szCs w:val="22"/>
          <w:lang w:val="de-DE"/>
        </w:rPr>
        <w:t xml:space="preserve">. </w:t>
      </w:r>
      <w:r>
        <w:rPr>
          <w:rFonts w:cs="Garamond" w:ascii="Garamond" w:hAnsi="Garamond"/>
          <w:iCs/>
          <w:sz w:val="22"/>
          <w:szCs w:val="22"/>
          <w:lang w:val="en-US"/>
        </w:rPr>
        <w:t>1918. 9. S. 47–56, 104–124.</w:t>
      </w:r>
    </w:p>
    <w:p>
      <w:pPr>
        <w:pStyle w:val="Normal"/>
        <w:ind w:start="720" w:end="-31" w:hanging="720"/>
        <w:jc w:val="both"/>
        <w:rPr>
          <w:rFonts w:ascii="Garamond" w:hAnsi="Garamond" w:cs="Garamond"/>
          <w:iCs/>
          <w:sz w:val="22"/>
          <w:szCs w:val="22"/>
          <w:lang w:val="en-US"/>
        </w:rPr>
      </w:pPr>
      <w:r>
        <w:rPr>
          <w:rFonts w:cs="Garamond" w:ascii="Garamond" w:hAnsi="Garamond"/>
          <w:sz w:val="22"/>
          <w:szCs w:val="22"/>
          <w:lang w:val="en-US"/>
        </w:rPr>
        <w:t xml:space="preserve">Barker P., Gasse F. New Evidence for a Reduced Water Balance in East Africa During the Last Glacial Maximum: Implication for Model-Data Comparison. </w:t>
      </w:r>
      <w:r>
        <w:rPr>
          <w:rFonts w:cs="Garamond" w:ascii="Garamond" w:hAnsi="Garamond"/>
          <w:i/>
          <w:iCs/>
          <w:sz w:val="22"/>
          <w:szCs w:val="22"/>
          <w:lang w:val="en-US"/>
        </w:rPr>
        <w:t>Quaternary Science Reviews</w:t>
      </w:r>
      <w:r>
        <w:rPr>
          <w:rFonts w:cs="Garamond" w:ascii="Garamond" w:hAnsi="Garamond"/>
          <w:sz w:val="22"/>
          <w:szCs w:val="22"/>
          <w:lang w:val="en-US"/>
        </w:rPr>
        <w:t>. 2003. 22. Pp. 823–837.</w:t>
      </w:r>
    </w:p>
    <w:p>
      <w:pPr>
        <w:pStyle w:val="Normal"/>
        <w:ind w:start="720" w:end="-31" w:hanging="720"/>
        <w:jc w:val="both"/>
        <w:rPr/>
      </w:pPr>
      <w:r>
        <w:rPr>
          <w:rFonts w:cs="Garamond" w:ascii="Garamond" w:hAnsi="Garamond"/>
          <w:sz w:val="22"/>
          <w:szCs w:val="22"/>
          <w:lang w:val="en-US"/>
        </w:rPr>
        <w:t xml:space="preserve">Barrows T. T., Williams M. A. J., Mills S. C., Duller G. A. T., Fifield L. Keith, Haberlah D., Tims S. G., Williams F. M. A White Nile Megalake During the Last Interglacial Period. </w:t>
      </w:r>
      <w:r>
        <w:rPr>
          <w:rFonts w:cs="Garamond" w:ascii="Garamond" w:hAnsi="Garamond"/>
          <w:i/>
          <w:sz w:val="22"/>
          <w:szCs w:val="22"/>
          <w:lang w:val="en-US"/>
        </w:rPr>
        <w:t>Geology</w:t>
      </w:r>
      <w:r>
        <w:rPr>
          <w:rFonts w:cs="Garamond" w:ascii="Garamond" w:hAnsi="Garamond"/>
          <w:sz w:val="22"/>
          <w:szCs w:val="22"/>
          <w:lang w:val="en-US"/>
        </w:rPr>
        <w:t xml:space="preserve">. </w:t>
      </w:r>
      <w:r>
        <w:rPr>
          <w:rFonts w:cs="Garamond" w:ascii="Garamond" w:hAnsi="Garamond"/>
          <w:sz w:val="22"/>
          <w:szCs w:val="22"/>
          <w:lang w:val="de-DE"/>
        </w:rPr>
        <w:t>2014. 42. Pp. 163–166.</w:t>
      </w:r>
    </w:p>
    <w:p>
      <w:pPr>
        <w:pStyle w:val="Normal"/>
        <w:ind w:start="720" w:end="-31" w:hanging="720"/>
        <w:jc w:val="both"/>
        <w:rPr>
          <w:rFonts w:ascii="Garamond" w:hAnsi="Garamond" w:cs="Garamond"/>
          <w:iCs/>
          <w:sz w:val="22"/>
          <w:szCs w:val="22"/>
          <w:lang w:val="de-DE"/>
        </w:rPr>
      </w:pPr>
      <w:r>
        <w:rPr>
          <w:rFonts w:cs="Garamond" w:ascii="Garamond" w:hAnsi="Garamond"/>
          <w:sz w:val="22"/>
          <w:szCs w:val="22"/>
          <w:lang w:val="de-DE"/>
        </w:rPr>
        <w:t xml:space="preserve">Bietak M. </w:t>
      </w:r>
      <w:r>
        <w:rPr>
          <w:rFonts w:cs="Garamond" w:ascii="Garamond" w:hAnsi="Garamond"/>
          <w:i/>
          <w:sz w:val="22"/>
          <w:szCs w:val="22"/>
          <w:lang w:val="de-DE"/>
        </w:rPr>
        <w:t xml:space="preserve">Studien zur Chronologie der nubischen C-Gruppe. Ein Beitrag zur Frühgeschichte Unternubiens zwischen 2200 und 1550 vor Chr. </w:t>
      </w:r>
      <w:r>
        <w:rPr>
          <w:rFonts w:cs="Garamond" w:ascii="Garamond" w:hAnsi="Garamond"/>
          <w:sz w:val="22"/>
          <w:szCs w:val="22"/>
          <w:lang w:val="de-DE"/>
        </w:rPr>
        <w:t>Wien, 1968.</w:t>
      </w:r>
    </w:p>
    <w:p>
      <w:pPr>
        <w:pStyle w:val="Normal"/>
        <w:ind w:start="720" w:end="-31" w:hanging="720"/>
        <w:jc w:val="both"/>
        <w:rPr/>
      </w:pPr>
      <w:r>
        <w:rPr>
          <w:rFonts w:cs="Garamond" w:ascii="Garamond" w:hAnsi="Garamond"/>
          <w:sz w:val="22"/>
          <w:szCs w:val="22"/>
          <w:lang w:val="de-DE"/>
        </w:rPr>
        <w:t>Blanckenhorn M. L. P. Die Geschichte des Nil-Stroms in der Tertiär- und Quartärperiode, sowie des paläolithischen Menschen in Ägypten.</w:t>
      </w:r>
      <w:r>
        <w:rPr>
          <w:rFonts w:cs="Garamond" w:ascii="Garamond" w:hAnsi="Garamond"/>
          <w:i/>
          <w:sz w:val="22"/>
          <w:szCs w:val="22"/>
          <w:lang w:val="de-DE"/>
        </w:rPr>
        <w:t xml:space="preserve"> </w:t>
      </w:r>
      <w:r>
        <w:rPr>
          <w:rFonts w:cs="Garamond" w:ascii="Garamond" w:hAnsi="Garamond"/>
          <w:i/>
          <w:iCs/>
          <w:sz w:val="22"/>
          <w:szCs w:val="22"/>
          <w:lang w:val="de-DE"/>
        </w:rPr>
        <w:t>Zeitschrift der Gesellschaft für Erdkunde zu Berlin</w:t>
      </w:r>
      <w:r>
        <w:rPr>
          <w:rFonts w:cs="Garamond" w:ascii="Garamond" w:hAnsi="Garamond"/>
          <w:sz w:val="22"/>
          <w:szCs w:val="22"/>
          <w:lang w:val="de-DE"/>
        </w:rPr>
        <w:t xml:space="preserve">. </w:t>
      </w:r>
      <w:r>
        <w:rPr>
          <w:rFonts w:cs="Garamond" w:ascii="Garamond" w:hAnsi="Garamond"/>
          <w:sz w:val="22"/>
          <w:szCs w:val="22"/>
          <w:lang w:val="en-US"/>
        </w:rPr>
        <w:t>1902</w:t>
      </w:r>
      <w:r>
        <w:rPr>
          <w:rFonts w:cs="Garamond" w:ascii="Garamond" w:hAnsi="Garamond"/>
          <w:iCs/>
          <w:sz w:val="22"/>
          <w:szCs w:val="22"/>
          <w:lang w:val="en-US"/>
        </w:rPr>
        <w:t>. 37. S. 694–722, 753–762.</w:t>
      </w:r>
    </w:p>
    <w:p>
      <w:pPr>
        <w:pStyle w:val="Normal"/>
        <w:ind w:start="720" w:end="-31" w:hanging="720"/>
        <w:jc w:val="both"/>
        <w:rPr/>
      </w:pPr>
      <w:r>
        <w:rPr>
          <w:rFonts w:cs="Garamond" w:ascii="Garamond" w:hAnsi="Garamond"/>
          <w:sz w:val="22"/>
          <w:szCs w:val="22"/>
          <w:lang w:val="en-US"/>
        </w:rPr>
        <w:t xml:space="preserve">Bloxam E., Heldal T., Storemyr P. (eds.). </w:t>
      </w:r>
      <w:r>
        <w:rPr>
          <w:rFonts w:cs="Garamond" w:ascii="Garamond" w:hAnsi="Garamond"/>
          <w:i/>
          <w:sz w:val="22"/>
          <w:szCs w:val="22"/>
          <w:lang w:val="en-US"/>
        </w:rPr>
        <w:t>Characterisation of Complex Quarry Landscapes: An Example from the West Bank Quarries, Aswan</w:t>
      </w:r>
      <w:r>
        <w:rPr>
          <w:rFonts w:cs="Garamond" w:ascii="Garamond" w:hAnsi="Garamond"/>
          <w:sz w:val="22"/>
          <w:szCs w:val="22"/>
          <w:lang w:val="en-US"/>
        </w:rPr>
        <w:t>. Trondheim, 2007.</w:t>
      </w:r>
    </w:p>
    <w:p>
      <w:pPr>
        <w:pStyle w:val="Normal"/>
        <w:ind w:start="720" w:end="-31" w:hanging="720"/>
        <w:jc w:val="both"/>
        <w:rPr>
          <w:rFonts w:ascii="Garamond" w:hAnsi="Garamond" w:cs="Garamond"/>
          <w:iCs/>
          <w:sz w:val="22"/>
          <w:szCs w:val="22"/>
          <w:lang w:val="fr-FR"/>
        </w:rPr>
      </w:pPr>
      <w:r>
        <w:rPr>
          <w:rFonts w:cs="Garamond" w:ascii="Garamond" w:hAnsi="Garamond"/>
          <w:sz w:val="22"/>
          <w:szCs w:val="22"/>
          <w:lang w:val="en-US"/>
        </w:rPr>
        <w:t xml:space="preserve">Bonnet C. Excavations at the Nubian Royal Town of Kerma: 1975–91. </w:t>
      </w:r>
      <w:r>
        <w:rPr>
          <w:rFonts w:cs="Garamond" w:ascii="Garamond" w:hAnsi="Garamond"/>
          <w:i/>
          <w:sz w:val="22"/>
          <w:szCs w:val="22"/>
          <w:lang w:val="en-US"/>
        </w:rPr>
        <w:t>Antiquity</w:t>
      </w:r>
      <w:r>
        <w:rPr>
          <w:rFonts w:cs="Garamond" w:ascii="Garamond" w:hAnsi="Garamond"/>
          <w:sz w:val="22"/>
          <w:szCs w:val="22"/>
          <w:lang w:val="en-US"/>
        </w:rPr>
        <w:t xml:space="preserve">. </w:t>
      </w:r>
      <w:r>
        <w:rPr>
          <w:rFonts w:cs="Garamond" w:ascii="Garamond" w:hAnsi="Garamond"/>
          <w:sz w:val="22"/>
          <w:szCs w:val="22"/>
          <w:lang w:val="fr-FR"/>
        </w:rPr>
        <w:t>1992. 66. Pp. 611–625.</w:t>
      </w:r>
    </w:p>
    <w:p>
      <w:pPr>
        <w:pStyle w:val="Normal"/>
        <w:ind w:start="720" w:end="-31" w:hanging="720"/>
        <w:jc w:val="both"/>
        <w:rPr>
          <w:rFonts w:ascii="Garamond" w:hAnsi="Garamond" w:cs="Garamond"/>
          <w:iCs/>
          <w:sz w:val="22"/>
          <w:szCs w:val="22"/>
          <w:lang w:val="fr-FR"/>
        </w:rPr>
      </w:pPr>
      <w:r>
        <w:rPr>
          <w:rFonts w:cs="Garamond" w:ascii="Garamond" w:hAnsi="Garamond"/>
          <w:sz w:val="22"/>
          <w:szCs w:val="22"/>
          <w:lang w:val="fr-FR"/>
        </w:rPr>
        <w:t xml:space="preserve">Bonnet C. Le groupe A et le pré-Kerma. Wildung D. (ed.). </w:t>
      </w:r>
      <w:r>
        <w:rPr>
          <w:rFonts w:cs="Garamond" w:ascii="Garamond" w:hAnsi="Garamond"/>
          <w:i/>
          <w:sz w:val="22"/>
          <w:szCs w:val="22"/>
          <w:lang w:val="fr-FR"/>
        </w:rPr>
        <w:t>Soudan, royaumes sur le Nil</w:t>
      </w:r>
      <w:r>
        <w:rPr>
          <w:rFonts w:cs="Garamond" w:ascii="Garamond" w:hAnsi="Garamond"/>
          <w:sz w:val="22"/>
          <w:szCs w:val="22"/>
          <w:lang w:val="fr-FR"/>
        </w:rPr>
        <w:t>. Paris, 1997. Pp. 36–47.</w:t>
      </w:r>
    </w:p>
    <w:p>
      <w:pPr>
        <w:pStyle w:val="Normal"/>
        <w:ind w:start="720" w:end="-31" w:hanging="720"/>
        <w:jc w:val="both"/>
        <w:rPr/>
      </w:pPr>
      <w:r>
        <w:rPr>
          <w:rFonts w:cs="Garamond" w:ascii="Garamond" w:hAnsi="Garamond"/>
          <w:iCs/>
          <w:sz w:val="22"/>
          <w:szCs w:val="22"/>
          <w:lang w:val="fr-FR"/>
        </w:rPr>
        <w:t xml:space="preserve">Bovier-Lapierre P. Le paléolithique stratifié des environs du Caire. </w:t>
      </w:r>
      <w:r>
        <w:rPr>
          <w:rFonts w:cs="Garamond" w:ascii="Garamond" w:hAnsi="Garamond"/>
          <w:i/>
          <w:iCs/>
          <w:sz w:val="22"/>
          <w:szCs w:val="22"/>
          <w:lang w:val="fr-FR"/>
        </w:rPr>
        <w:t>L’Anthropologie</w:t>
      </w:r>
      <w:r>
        <w:rPr>
          <w:rFonts w:cs="Garamond" w:ascii="Garamond" w:hAnsi="Garamond"/>
          <w:iCs/>
          <w:sz w:val="22"/>
          <w:szCs w:val="22"/>
          <w:lang w:val="fr-FR"/>
        </w:rPr>
        <w:t>. 1925. 35. P. 37–46.</w:t>
      </w:r>
    </w:p>
    <w:p>
      <w:pPr>
        <w:pStyle w:val="Normal"/>
        <w:ind w:start="720" w:end="-31" w:hanging="720"/>
        <w:jc w:val="both"/>
        <w:rPr/>
      </w:pPr>
      <w:r>
        <w:rPr>
          <w:rFonts w:cs="Garamond" w:ascii="Garamond" w:hAnsi="Garamond"/>
          <w:iCs/>
          <w:sz w:val="22"/>
          <w:szCs w:val="22"/>
          <w:lang w:val="fr-FR"/>
        </w:rPr>
        <w:t>Butzer K. W. Contrib</w:t>
      </w:r>
      <w:r>
        <w:rPr>
          <w:rFonts w:cs="Garamond" w:ascii="Garamond" w:hAnsi="Garamond"/>
          <w:iCs/>
          <w:sz w:val="22"/>
          <w:szCs w:val="22"/>
          <w:lang w:val="en-US"/>
        </w:rPr>
        <w:t xml:space="preserve">utions to the Pleistocene Geology of the Nile Valley. </w:t>
      </w:r>
      <w:r>
        <w:rPr>
          <w:rFonts w:cs="Garamond" w:ascii="Garamond" w:hAnsi="Garamond"/>
          <w:i/>
          <w:iCs/>
          <w:sz w:val="22"/>
          <w:szCs w:val="22"/>
          <w:lang w:val="en-US"/>
        </w:rPr>
        <w:t>Erdkunde</w:t>
      </w:r>
      <w:r>
        <w:rPr>
          <w:rFonts w:cs="Garamond" w:ascii="Garamond" w:hAnsi="Garamond"/>
          <w:iCs/>
          <w:sz w:val="22"/>
          <w:szCs w:val="22"/>
          <w:lang w:val="en-US"/>
        </w:rPr>
        <w:t xml:space="preserve">. </w:t>
      </w:r>
      <w:r>
        <w:rPr>
          <w:rFonts w:cs="Garamond" w:ascii="Garamond" w:hAnsi="Garamond"/>
          <w:iCs/>
          <w:sz w:val="22"/>
          <w:szCs w:val="22"/>
          <w:lang w:val="de-DE"/>
        </w:rPr>
        <w:t>1959(a). 13. S. 46–67.</w:t>
      </w:r>
    </w:p>
    <w:p>
      <w:pPr>
        <w:pStyle w:val="Normal"/>
        <w:ind w:start="720" w:end="-31" w:hanging="720"/>
        <w:jc w:val="both"/>
        <w:rPr/>
      </w:pPr>
      <w:r>
        <w:rPr>
          <w:rFonts w:cs="Garamond" w:ascii="Garamond" w:hAnsi="Garamond"/>
          <w:iCs/>
          <w:sz w:val="22"/>
          <w:szCs w:val="22"/>
          <w:lang w:val="de-DE"/>
        </w:rPr>
        <w:t xml:space="preserve">Butzer K. W. </w:t>
      </w:r>
      <w:r>
        <w:rPr>
          <w:rFonts w:cs="Garamond" w:ascii="Garamond" w:hAnsi="Garamond"/>
          <w:i/>
          <w:iCs/>
          <w:sz w:val="22"/>
          <w:szCs w:val="22"/>
          <w:lang w:val="de-DE"/>
        </w:rPr>
        <w:t xml:space="preserve">Studien zum vor- und frühgeschichtlichen Landschaftswandel der Sahara. </w:t>
      </w:r>
      <w:r>
        <w:rPr>
          <w:rFonts w:cs="Garamond" w:ascii="Garamond" w:hAnsi="Garamond"/>
          <w:sz w:val="22"/>
          <w:szCs w:val="22"/>
          <w:lang w:val="de-DE"/>
        </w:rPr>
        <w:t>I.</w:t>
      </w:r>
      <w:r>
        <w:rPr>
          <w:rFonts w:cs="Garamond" w:ascii="Garamond" w:hAnsi="Garamond"/>
          <w:i/>
          <w:sz w:val="22"/>
          <w:szCs w:val="22"/>
          <w:lang w:val="de-DE"/>
        </w:rPr>
        <w:t xml:space="preserve"> Die Ursachen des Landschaftswandels der Sahara und Levante seit dem klassischen Altertum. </w:t>
      </w:r>
      <w:r>
        <w:rPr>
          <w:rFonts w:cs="Garamond" w:ascii="Garamond" w:hAnsi="Garamond"/>
          <w:sz w:val="22"/>
          <w:szCs w:val="22"/>
          <w:lang w:val="de-DE"/>
        </w:rPr>
        <w:t>II.</w:t>
      </w:r>
      <w:r>
        <w:rPr>
          <w:rFonts w:cs="Garamond" w:ascii="Garamond" w:hAnsi="Garamond"/>
          <w:i/>
          <w:sz w:val="22"/>
          <w:szCs w:val="22"/>
          <w:lang w:val="de-DE"/>
        </w:rPr>
        <w:t xml:space="preserve"> Das ökologische Problem der neolithischen Felsbilder der östlichen Sahara</w:t>
      </w:r>
      <w:r>
        <w:rPr>
          <w:rFonts w:cs="Garamond" w:ascii="Garamond" w:hAnsi="Garamond"/>
          <w:sz w:val="22"/>
          <w:szCs w:val="22"/>
          <w:lang w:val="de-DE"/>
        </w:rPr>
        <w:t xml:space="preserve">. Wiesbaden, </w:t>
      </w:r>
      <w:r>
        <w:rPr>
          <w:rFonts w:cs="Garamond" w:ascii="Garamond" w:hAnsi="Garamond"/>
          <w:iCs/>
          <w:sz w:val="22"/>
          <w:szCs w:val="22"/>
          <w:lang w:val="de-DE"/>
        </w:rPr>
        <w:t>1958.</w:t>
      </w:r>
    </w:p>
    <w:p>
      <w:pPr>
        <w:pStyle w:val="Normal"/>
        <w:ind w:start="720" w:end="-31" w:hanging="720"/>
        <w:jc w:val="both"/>
        <w:rPr>
          <w:rFonts w:ascii="Garamond" w:hAnsi="Garamond" w:cs="Garamond"/>
          <w:iCs/>
          <w:sz w:val="22"/>
          <w:szCs w:val="22"/>
          <w:lang w:val="en-US"/>
        </w:rPr>
      </w:pPr>
      <w:r>
        <w:rPr>
          <w:rFonts w:cs="Garamond" w:ascii="Garamond" w:hAnsi="Garamond"/>
          <w:sz w:val="22"/>
          <w:szCs w:val="22"/>
          <w:lang w:val="de-DE"/>
        </w:rPr>
        <w:t xml:space="preserve">Butzer K. W. </w:t>
      </w:r>
      <w:r>
        <w:rPr>
          <w:rFonts w:cs="Garamond" w:ascii="Garamond" w:hAnsi="Garamond"/>
          <w:i/>
          <w:sz w:val="22"/>
          <w:szCs w:val="22"/>
          <w:lang w:val="de-DE"/>
        </w:rPr>
        <w:t xml:space="preserve">Studien zum vor- und frühgeschichtlichen Landschaftswandel der Sahara. </w:t>
      </w:r>
      <w:r>
        <w:rPr>
          <w:rFonts w:cs="Garamond" w:ascii="Garamond" w:hAnsi="Garamond"/>
          <w:sz w:val="22"/>
          <w:szCs w:val="22"/>
          <w:lang w:val="de-DE"/>
        </w:rPr>
        <w:t>III.</w:t>
      </w:r>
      <w:r>
        <w:rPr>
          <w:rFonts w:cs="Garamond" w:ascii="Garamond" w:hAnsi="Garamond"/>
          <w:i/>
          <w:sz w:val="22"/>
          <w:szCs w:val="22"/>
          <w:lang w:val="de-DE"/>
        </w:rPr>
        <w:t xml:space="preserve"> Die Naturlandschaft Ägyptens während der Vorgeschichte und der Dynastischen Zeit</w:t>
      </w:r>
      <w:r>
        <w:rPr>
          <w:rFonts w:cs="Garamond" w:ascii="Garamond" w:hAnsi="Garamond"/>
          <w:sz w:val="22"/>
          <w:szCs w:val="22"/>
          <w:lang w:val="de-DE"/>
        </w:rPr>
        <w:t xml:space="preserve">. </w:t>
      </w:r>
      <w:r>
        <w:rPr>
          <w:rFonts w:cs="Garamond" w:ascii="Garamond" w:hAnsi="Garamond"/>
          <w:sz w:val="22"/>
          <w:szCs w:val="22"/>
          <w:lang w:val="en-US"/>
        </w:rPr>
        <w:t>Wiesbaden, 1959(b).</w:t>
      </w:r>
    </w:p>
    <w:p>
      <w:pPr>
        <w:pStyle w:val="Normal"/>
        <w:ind w:start="720" w:end="-31" w:hanging="720"/>
        <w:jc w:val="both"/>
        <w:rPr/>
      </w:pPr>
      <w:r>
        <w:rPr>
          <w:rFonts w:cs="Garamond" w:ascii="Garamond" w:hAnsi="Garamond"/>
          <w:iCs/>
          <w:sz w:val="22"/>
          <w:szCs w:val="22"/>
          <w:lang w:val="en-US"/>
        </w:rPr>
        <w:t>Butzer K. W.</w:t>
      </w:r>
      <w:r>
        <w:rPr>
          <w:rFonts w:cs="Garamond" w:ascii="Garamond" w:hAnsi="Garamond"/>
          <w:sz w:val="22"/>
          <w:szCs w:val="22"/>
          <w:lang w:val="en-US"/>
        </w:rPr>
        <w:t xml:space="preserve"> Late Quaternary Problems of the Egyptian Nile: Stratigraphy, Environments, Prehistory. </w:t>
      </w:r>
      <w:r>
        <w:rPr>
          <w:rFonts w:cs="Garamond" w:ascii="Garamond" w:hAnsi="Garamond"/>
          <w:i/>
          <w:sz w:val="22"/>
          <w:szCs w:val="22"/>
          <w:lang w:val="en-US"/>
        </w:rPr>
        <w:t>Paléorient</w:t>
      </w:r>
      <w:r>
        <w:rPr>
          <w:rFonts w:cs="Garamond" w:ascii="Garamond" w:hAnsi="Garamond"/>
          <w:sz w:val="22"/>
          <w:szCs w:val="22"/>
          <w:lang w:val="en-US"/>
        </w:rPr>
        <w:t>. 1998. 23. Pp. 151–173.</w:t>
      </w:r>
    </w:p>
    <w:p>
      <w:pPr>
        <w:pStyle w:val="Normal"/>
        <w:ind w:start="720" w:end="-31" w:hanging="720"/>
        <w:jc w:val="both"/>
        <w:rPr>
          <w:rFonts w:ascii="Garamond" w:hAnsi="Garamond" w:cs="Garamond"/>
          <w:sz w:val="22"/>
          <w:szCs w:val="22"/>
          <w:lang w:val="en-US"/>
        </w:rPr>
      </w:pPr>
      <w:r>
        <w:rPr>
          <w:rFonts w:cs="Garamond" w:ascii="Garamond" w:hAnsi="Garamond"/>
          <w:iCs/>
          <w:sz w:val="22"/>
          <w:szCs w:val="22"/>
          <w:lang w:val="en-US"/>
        </w:rPr>
        <w:t>Butzer K. W.</w:t>
      </w:r>
      <w:r>
        <w:rPr>
          <w:rFonts w:cs="Garamond" w:ascii="Garamond" w:hAnsi="Garamond"/>
          <w:sz w:val="22"/>
          <w:szCs w:val="22"/>
          <w:lang w:val="en-US"/>
        </w:rPr>
        <w:t xml:space="preserve"> Pleistocene History of the Nile Valley in Egypt and Lower Nubia. Williams M. A. J., Faure</w:t>
      </w:r>
      <w:r>
        <w:rPr>
          <w:rFonts w:cs="Garamond" w:ascii="Garamond" w:hAnsi="Garamond"/>
          <w:iCs/>
          <w:sz w:val="22"/>
          <w:szCs w:val="22"/>
          <w:lang w:val="en-US"/>
        </w:rPr>
        <w:t xml:space="preserve"> H. (eds.). </w:t>
      </w:r>
      <w:r>
        <w:rPr>
          <w:rFonts w:cs="Garamond" w:ascii="Garamond" w:hAnsi="Garamond"/>
          <w:i/>
          <w:iCs/>
          <w:sz w:val="22"/>
          <w:szCs w:val="22"/>
          <w:lang w:val="en-US"/>
        </w:rPr>
        <w:t>The Sahara and the Nile: Quaternary Environments and Prehistoric Occupation in Northern Africa</w:t>
      </w:r>
      <w:r>
        <w:rPr>
          <w:rFonts w:cs="Garamond" w:ascii="Garamond" w:hAnsi="Garamond"/>
          <w:i/>
          <w:sz w:val="22"/>
          <w:szCs w:val="22"/>
          <w:lang w:val="en-US"/>
        </w:rPr>
        <w:t>.</w:t>
      </w:r>
      <w:r>
        <w:rPr>
          <w:rFonts w:cs="Garamond" w:ascii="Garamond" w:hAnsi="Garamond"/>
          <w:sz w:val="22"/>
          <w:szCs w:val="22"/>
          <w:lang w:val="en-US"/>
        </w:rPr>
        <w:t xml:space="preserve"> Rotterdam, 1980. Pp. 253–280.</w:t>
      </w:r>
    </w:p>
    <w:p>
      <w:pPr>
        <w:pStyle w:val="Normal"/>
        <w:ind w:start="720" w:end="-31" w:hanging="720"/>
        <w:jc w:val="both"/>
        <w:rPr/>
      </w:pPr>
      <w:r>
        <w:rPr>
          <w:rFonts w:cs="Garamond" w:ascii="Garamond" w:hAnsi="Garamond"/>
          <w:sz w:val="22"/>
          <w:szCs w:val="22"/>
          <w:lang w:val="en-US"/>
        </w:rPr>
        <w:t xml:space="preserve">Butzer K. W., Hansen C. L. </w:t>
      </w:r>
      <w:r>
        <w:rPr>
          <w:rFonts w:cs="Garamond" w:ascii="Garamond" w:hAnsi="Garamond"/>
          <w:i/>
          <w:iCs/>
          <w:sz w:val="22"/>
          <w:szCs w:val="22"/>
          <w:lang w:val="en-US"/>
        </w:rPr>
        <w:t>Desert and River in Nubia: Geomorphology and Prehistoric Environments at the Aswan Reservoir</w:t>
      </w:r>
      <w:r>
        <w:rPr>
          <w:rFonts w:cs="Garamond" w:ascii="Garamond" w:hAnsi="Garamond"/>
          <w:sz w:val="22"/>
          <w:szCs w:val="22"/>
          <w:lang w:val="en-US"/>
        </w:rPr>
        <w:t>. Madison, 1968.</w:t>
      </w:r>
    </w:p>
    <w:p>
      <w:pPr>
        <w:pStyle w:val="Normal"/>
        <w:ind w:start="720" w:end="-31" w:hanging="720"/>
        <w:jc w:val="both"/>
        <w:rPr/>
      </w:pPr>
      <w:r>
        <w:rPr>
          <w:rFonts w:cs="Garamond" w:ascii="Garamond" w:hAnsi="Garamond"/>
          <w:sz w:val="22"/>
          <w:szCs w:val="22"/>
          <w:lang w:val="en-US"/>
        </w:rPr>
        <w:t xml:space="preserve">Butzer K. W., Hansen C. L. On Pleistocene Evolution of the Nile Valley in Southern Egypt. </w:t>
      </w:r>
      <w:r>
        <w:rPr>
          <w:rFonts w:cs="Garamond" w:ascii="Garamond" w:hAnsi="Garamond"/>
          <w:i/>
          <w:sz w:val="22"/>
          <w:szCs w:val="22"/>
          <w:lang w:val="en-US"/>
        </w:rPr>
        <w:t>Canadian Geographer.</w:t>
      </w:r>
      <w:r>
        <w:rPr>
          <w:rFonts w:cs="Garamond" w:ascii="Garamond" w:hAnsi="Garamond"/>
          <w:sz w:val="22"/>
          <w:szCs w:val="22"/>
          <w:lang w:val="en-US"/>
        </w:rPr>
        <w:t xml:space="preserve"> 1965. 9. Pp. 74–83.</w:t>
      </w:r>
    </w:p>
    <w:p>
      <w:pPr>
        <w:pStyle w:val="Normal"/>
        <w:ind w:start="720" w:end="-31" w:hanging="720"/>
        <w:jc w:val="both"/>
        <w:rPr/>
      </w:pPr>
      <w:r>
        <w:rPr>
          <w:rFonts w:cs="Garamond" w:ascii="Garamond" w:hAnsi="Garamond"/>
          <w:sz w:val="22"/>
          <w:szCs w:val="22"/>
          <w:lang w:val="en-US"/>
        </w:rPr>
        <w:t>Červiček P.</w:t>
      </w:r>
      <w:r>
        <w:rPr>
          <w:rFonts w:cs="Garamond" w:ascii="Garamond" w:hAnsi="Garamond"/>
          <w:i/>
          <w:sz w:val="22"/>
          <w:szCs w:val="22"/>
          <w:lang w:val="en-US"/>
        </w:rPr>
        <w:t xml:space="preserve"> Rock Pictures of Upper Egypt and Nubia</w:t>
      </w:r>
      <w:r>
        <w:rPr>
          <w:rFonts w:cs="Garamond" w:ascii="Garamond" w:hAnsi="Garamond"/>
          <w:sz w:val="22"/>
          <w:szCs w:val="22"/>
          <w:lang w:val="en-US"/>
        </w:rPr>
        <w:t>. Napoli, 1986.</w:t>
      </w:r>
    </w:p>
    <w:p>
      <w:pPr>
        <w:pStyle w:val="Normal"/>
        <w:ind w:start="720" w:end="-31" w:hanging="720"/>
        <w:jc w:val="both"/>
        <w:rPr/>
      </w:pPr>
      <w:r>
        <w:rPr>
          <w:rFonts w:cs="Garamond" w:ascii="Garamond" w:hAnsi="Garamond"/>
          <w:iCs/>
          <w:sz w:val="22"/>
          <w:szCs w:val="22"/>
          <w:lang w:val="en-US"/>
        </w:rPr>
        <w:t xml:space="preserve">Chumakov I. S. </w:t>
      </w:r>
      <w:r>
        <w:rPr>
          <w:rFonts w:cs="Garamond" w:ascii="Garamond" w:hAnsi="Garamond"/>
          <w:sz w:val="22"/>
          <w:szCs w:val="22"/>
          <w:lang w:val="en-US"/>
        </w:rPr>
        <w:t xml:space="preserve">Pliocene and Pleistocene Deposits of the Nile Valley in Nubia and Upper Egypt. Ryan W. B. F., Hsü K. J., Cita M. B., Dumitrica P., Lort J. M., Mayne W., Nesteroff W. D., Pautot G., Stradner H., Wezel F. C. (eds.). </w:t>
      </w:r>
      <w:r>
        <w:rPr>
          <w:rFonts w:cs="Garamond" w:ascii="Garamond" w:hAnsi="Garamond"/>
          <w:i/>
          <w:sz w:val="22"/>
          <w:szCs w:val="22"/>
          <w:lang w:val="en-US"/>
        </w:rPr>
        <w:t xml:space="preserve">Initial Reports of the Deep Sea Drilling Project. </w:t>
      </w:r>
      <w:r>
        <w:rPr>
          <w:rFonts w:cs="Garamond" w:ascii="Garamond" w:hAnsi="Garamond"/>
          <w:sz w:val="22"/>
          <w:szCs w:val="22"/>
          <w:lang w:val="en-US"/>
        </w:rPr>
        <w:t>Vol. 13. Washington, 1973. Pp. 1242–1243.</w:t>
      </w:r>
    </w:p>
    <w:p>
      <w:pPr>
        <w:pStyle w:val="Normal"/>
        <w:ind w:start="720" w:end="-31" w:hanging="720"/>
        <w:jc w:val="both"/>
        <w:rPr/>
      </w:pPr>
      <w:r>
        <w:rPr>
          <w:rFonts w:cs="Garamond" w:ascii="Garamond" w:hAnsi="Garamond"/>
          <w:sz w:val="22"/>
          <w:szCs w:val="22"/>
          <w:lang w:val="en-US"/>
        </w:rPr>
        <w:t xml:space="preserve">Dagnan-Ginter A., Ginter B., Kozlowski J. K., Pawlikowski M., Śliwa J. Excavations in the Region of Qasr el-Sagha, 1981. Contribution to the Neolithic Period, Middle Kingdom Settlement and Chronological Sequences in the Northern Fayum Desert. </w:t>
      </w:r>
      <w:r>
        <w:rPr>
          <w:rFonts w:cs="Garamond" w:ascii="Garamond" w:hAnsi="Garamond"/>
          <w:i/>
          <w:iCs/>
          <w:sz w:val="22"/>
          <w:szCs w:val="22"/>
          <w:lang w:val="en-US"/>
        </w:rPr>
        <w:t>Mitteilungen des Deutschen arch</w:t>
      </w:r>
      <w:r>
        <w:rPr>
          <w:rFonts w:cs="Garamond" w:ascii="Garamond" w:hAnsi="Garamond"/>
          <w:i/>
          <w:iCs/>
          <w:sz w:val="22"/>
          <w:szCs w:val="22"/>
        </w:rPr>
        <w:t>ä</w:t>
      </w:r>
      <w:r>
        <w:rPr>
          <w:rFonts w:cs="Garamond" w:ascii="Garamond" w:hAnsi="Garamond"/>
          <w:i/>
          <w:iCs/>
          <w:sz w:val="22"/>
          <w:szCs w:val="22"/>
          <w:lang w:val="en-US"/>
        </w:rPr>
        <w:t>ologischen Instituts, Abteilung Kairo</w:t>
      </w:r>
      <w:r>
        <w:rPr>
          <w:rFonts w:cs="Garamond" w:ascii="Garamond" w:hAnsi="Garamond"/>
          <w:sz w:val="22"/>
          <w:szCs w:val="22"/>
          <w:lang w:val="en-US"/>
        </w:rPr>
        <w:t>. 1984. 40. S. 33–102.</w:t>
      </w:r>
    </w:p>
    <w:p>
      <w:pPr>
        <w:pStyle w:val="Normal"/>
        <w:ind w:start="720" w:end="-31" w:hanging="720"/>
        <w:jc w:val="both"/>
        <w:rPr/>
      </w:pPr>
      <w:r>
        <w:rPr>
          <w:rFonts w:cs="Garamond" w:ascii="Garamond" w:hAnsi="Garamond"/>
          <w:sz w:val="22"/>
          <w:szCs w:val="22"/>
          <w:lang w:val="en-US"/>
        </w:rPr>
        <w:t xml:space="preserve">Darnell J. C. The Early Hieroglyphic Annotation in the Nag el-Hamdulab Rock Art Tableaux, and the Following of Horus in the Northwest Hinterland of Aswan. </w:t>
      </w:r>
      <w:r>
        <w:rPr>
          <w:rFonts w:cs="Garamond" w:ascii="Garamond" w:hAnsi="Garamond"/>
          <w:i/>
          <w:sz w:val="22"/>
          <w:szCs w:val="22"/>
          <w:lang w:val="en-US"/>
        </w:rPr>
        <w:t>Archéo-Nil</w:t>
      </w:r>
      <w:r>
        <w:rPr>
          <w:rFonts w:cs="Garamond" w:ascii="Garamond" w:hAnsi="Garamond"/>
          <w:sz w:val="22"/>
          <w:szCs w:val="22"/>
          <w:lang w:val="en-US"/>
        </w:rPr>
        <w:t>. 2015. 25. Pp. 19–43.</w:t>
      </w:r>
    </w:p>
    <w:p>
      <w:pPr>
        <w:pStyle w:val="Normal"/>
        <w:ind w:start="720" w:end="-31" w:hanging="720"/>
        <w:jc w:val="both"/>
        <w:rPr/>
      </w:pPr>
      <w:r>
        <w:rPr>
          <w:rFonts w:cs="Garamond" w:ascii="Garamond" w:hAnsi="Garamond"/>
          <w:sz w:val="22"/>
          <w:szCs w:val="22"/>
          <w:lang w:val="en-US"/>
        </w:rPr>
        <w:t xml:space="preserve">Darnell J. C. The Narrow Doors of the Desert. Ancient Egyptian Roads in the Theban Western Desert. David B., Wilson M. (eds.). </w:t>
      </w:r>
      <w:r>
        <w:rPr>
          <w:rFonts w:cs="Garamond" w:ascii="Garamond" w:hAnsi="Garamond"/>
          <w:i/>
          <w:sz w:val="22"/>
          <w:szCs w:val="22"/>
          <w:lang w:val="en-US"/>
        </w:rPr>
        <w:t>Inscribed Landscapes. Marking and Making Place.</w:t>
      </w:r>
      <w:r>
        <w:rPr>
          <w:rFonts w:cs="Garamond" w:ascii="Garamond" w:hAnsi="Garamond"/>
          <w:sz w:val="22"/>
          <w:szCs w:val="22"/>
          <w:lang w:val="en-US"/>
        </w:rPr>
        <w:t xml:space="preserve"> Honolulu, 2002. Pp. 104–121.</w:t>
      </w:r>
    </w:p>
    <w:p>
      <w:pPr>
        <w:pStyle w:val="Normal"/>
        <w:ind w:start="720" w:end="-31" w:hanging="720"/>
        <w:jc w:val="both"/>
        <w:rPr/>
      </w:pPr>
      <w:r>
        <w:rPr>
          <w:rFonts w:cs="Garamond" w:ascii="Garamond" w:hAnsi="Garamond"/>
          <w:sz w:val="22"/>
          <w:szCs w:val="22"/>
          <w:lang w:val="en-US"/>
        </w:rPr>
        <w:t>Dufton D., Branton T. Climate Change in Early Egypt.</w:t>
      </w:r>
      <w:r>
        <w:rPr>
          <w:rFonts w:cs="Garamond" w:ascii="Garamond" w:hAnsi="Garamond"/>
          <w:i/>
          <w:sz w:val="22"/>
          <w:szCs w:val="22"/>
          <w:lang w:val="en-US"/>
        </w:rPr>
        <w:t xml:space="preserve"> </w:t>
      </w:r>
      <w:r>
        <w:rPr>
          <w:rFonts w:cs="Garamond" w:ascii="Garamond" w:hAnsi="Garamond"/>
          <w:i/>
          <w:iCs/>
          <w:sz w:val="22"/>
          <w:szCs w:val="22"/>
          <w:lang w:val="en-US"/>
        </w:rPr>
        <w:t>Egyptian Archaeology. The Bulletin of the Egypt Exploration Society</w:t>
      </w:r>
      <w:r>
        <w:rPr>
          <w:rFonts w:cs="Garamond" w:ascii="Garamond" w:hAnsi="Garamond"/>
          <w:sz w:val="22"/>
          <w:szCs w:val="22"/>
          <w:lang w:val="en-US"/>
        </w:rPr>
        <w:t>. 2010. 36. Pp. 36–37.</w:t>
      </w:r>
    </w:p>
    <w:p>
      <w:pPr>
        <w:pStyle w:val="Normal"/>
        <w:ind w:start="720" w:end="-31" w:hanging="720"/>
        <w:jc w:val="both"/>
        <w:rPr/>
      </w:pPr>
      <w:r>
        <w:rPr>
          <w:rFonts w:cs="Garamond" w:ascii="Garamond" w:hAnsi="Garamond"/>
          <w:sz w:val="22"/>
          <w:szCs w:val="22"/>
          <w:lang w:val="en-US"/>
        </w:rPr>
        <w:t xml:space="preserve">Emery W. B. </w:t>
      </w:r>
      <w:r>
        <w:rPr>
          <w:rFonts w:cs="Garamond" w:ascii="Garamond" w:hAnsi="Garamond"/>
          <w:i/>
          <w:sz w:val="22"/>
          <w:szCs w:val="22"/>
          <w:lang w:val="en-US"/>
        </w:rPr>
        <w:t>Archaic Egypt</w:t>
      </w:r>
      <w:r>
        <w:rPr>
          <w:rFonts w:cs="Garamond" w:ascii="Garamond" w:hAnsi="Garamond"/>
          <w:sz w:val="22"/>
          <w:szCs w:val="22"/>
          <w:lang w:val="en-US"/>
        </w:rPr>
        <w:t xml:space="preserve">. </w:t>
      </w:r>
      <w:r>
        <w:rPr>
          <w:rFonts w:cs="Garamond" w:ascii="Garamond" w:hAnsi="Garamond"/>
          <w:sz w:val="22"/>
          <w:szCs w:val="22"/>
          <w:lang w:val="de-DE"/>
        </w:rPr>
        <w:t>Harmondsworth, 1961.</w:t>
      </w:r>
    </w:p>
    <w:p>
      <w:pPr>
        <w:pStyle w:val="Normal"/>
        <w:ind w:start="720" w:end="-31" w:hanging="720"/>
        <w:jc w:val="both"/>
        <w:rPr/>
      </w:pPr>
      <w:r>
        <w:rPr>
          <w:rFonts w:cs="Garamond" w:ascii="Garamond" w:hAnsi="Garamond"/>
          <w:sz w:val="22"/>
          <w:szCs w:val="22"/>
          <w:lang w:val="de-DE"/>
        </w:rPr>
        <w:t xml:space="preserve">Engelmayer R. </w:t>
      </w:r>
      <w:r>
        <w:rPr>
          <w:rFonts w:cs="Garamond" w:ascii="Garamond" w:hAnsi="Garamond"/>
          <w:i/>
          <w:sz w:val="22"/>
          <w:szCs w:val="22"/>
          <w:lang w:val="de-DE"/>
        </w:rPr>
        <w:t xml:space="preserve">Die Felsgravierungen im Distrikt Sayala–Nubien. </w:t>
      </w:r>
      <w:r>
        <w:rPr>
          <w:rFonts w:cs="Garamond" w:ascii="Garamond" w:hAnsi="Garamond"/>
          <w:sz w:val="22"/>
          <w:szCs w:val="22"/>
          <w:lang w:val="en-US"/>
        </w:rPr>
        <w:t>I.</w:t>
      </w:r>
      <w:r>
        <w:rPr>
          <w:rFonts w:cs="Garamond" w:ascii="Garamond" w:hAnsi="Garamond"/>
          <w:i/>
          <w:sz w:val="22"/>
          <w:szCs w:val="22"/>
          <w:lang w:val="en-US"/>
        </w:rPr>
        <w:t xml:space="preserve"> Die Schiffsdarstellungen</w:t>
      </w:r>
      <w:r>
        <w:rPr>
          <w:rFonts w:cs="Garamond" w:ascii="Garamond" w:hAnsi="Garamond"/>
          <w:sz w:val="22"/>
          <w:szCs w:val="22"/>
          <w:lang w:val="en-US"/>
        </w:rPr>
        <w:t>. Wien, 1965.</w:t>
      </w:r>
    </w:p>
    <w:p>
      <w:pPr>
        <w:pStyle w:val="Normal"/>
        <w:ind w:start="720" w:end="-31" w:hanging="720"/>
        <w:jc w:val="both"/>
        <w:rPr>
          <w:rFonts w:ascii="Garamond" w:hAnsi="Garamond" w:cs="Garamond"/>
          <w:sz w:val="22"/>
          <w:szCs w:val="22"/>
          <w:lang w:val="en-US"/>
        </w:rPr>
      </w:pPr>
      <w:r>
        <w:rPr>
          <w:rFonts w:eastAsia="Arial Unicode MS" w:cs="Garamond" w:ascii="Garamond" w:hAnsi="Garamond"/>
          <w:sz w:val="22"/>
          <w:szCs w:val="22"/>
          <w:lang w:val="en-US"/>
        </w:rPr>
        <w:t xml:space="preserve">Fairbridge R. W. Effects of Holocene Climatic Changes on Some Tropical Geomorphic Process. </w:t>
      </w:r>
      <w:r>
        <w:rPr>
          <w:rFonts w:eastAsia="Arial Unicode MS" w:cs="Garamond" w:ascii="Garamond" w:hAnsi="Garamond"/>
          <w:i/>
          <w:sz w:val="22"/>
          <w:szCs w:val="22"/>
          <w:lang w:val="en-US"/>
        </w:rPr>
        <w:t>Quarternary Research</w:t>
      </w:r>
      <w:r>
        <w:rPr>
          <w:rFonts w:eastAsia="Arial Unicode MS" w:cs="Garamond" w:ascii="Garamond" w:hAnsi="Garamond"/>
          <w:sz w:val="22"/>
          <w:szCs w:val="22"/>
          <w:lang w:val="en-US"/>
        </w:rPr>
        <w:t>. 1976. 6. Pp. 529–556.</w:t>
      </w:r>
    </w:p>
    <w:p>
      <w:pPr>
        <w:pStyle w:val="Normal"/>
        <w:ind w:start="720" w:end="-31" w:hanging="720"/>
        <w:jc w:val="both"/>
        <w:rPr/>
      </w:pPr>
      <w:r>
        <w:rPr>
          <w:rFonts w:cs="Garamond" w:ascii="Garamond" w:hAnsi="Garamond"/>
          <w:sz w:val="22"/>
          <w:szCs w:val="22"/>
          <w:lang w:val="en-US"/>
        </w:rPr>
        <w:t xml:space="preserve">Fairbridge R. W. New Radiocarbon Dates of Nile Sediments. </w:t>
      </w:r>
      <w:r>
        <w:rPr>
          <w:rFonts w:cs="Garamond" w:ascii="Garamond" w:hAnsi="Garamond"/>
          <w:i/>
          <w:sz w:val="22"/>
          <w:szCs w:val="22"/>
          <w:lang w:val="en-US"/>
        </w:rPr>
        <w:t>Nature</w:t>
      </w:r>
      <w:r>
        <w:rPr>
          <w:rFonts w:cs="Garamond" w:ascii="Garamond" w:hAnsi="Garamond"/>
          <w:sz w:val="22"/>
          <w:szCs w:val="22"/>
          <w:lang w:val="en-US"/>
        </w:rPr>
        <w:t>. 1962. 196. Pp. 108–110.</w:t>
      </w:r>
    </w:p>
    <w:p>
      <w:pPr>
        <w:pStyle w:val="Normal"/>
        <w:ind w:start="720" w:end="-31" w:hanging="720"/>
        <w:jc w:val="both"/>
        <w:rPr/>
      </w:pPr>
      <w:r>
        <w:rPr>
          <w:rFonts w:cs="Garamond" w:ascii="Garamond" w:hAnsi="Garamond"/>
          <w:sz w:val="22"/>
          <w:szCs w:val="22"/>
          <w:lang w:val="en-US"/>
        </w:rPr>
        <w:t xml:space="preserve">Garcia-Castellanos D., Estrada F., Jiménez-Munt I., Gorini C., Fernàndez M., Vergés J., Vicente R. de. Catastrophic Flood of the Mediterranean After the Messinian Salinity Crisis. </w:t>
      </w:r>
      <w:r>
        <w:rPr>
          <w:rFonts w:cs="Garamond" w:ascii="Garamond" w:hAnsi="Garamond"/>
          <w:i/>
          <w:sz w:val="22"/>
          <w:szCs w:val="22"/>
          <w:lang w:val="en-US"/>
        </w:rPr>
        <w:t>Nature</w:t>
      </w:r>
      <w:r>
        <w:rPr>
          <w:rFonts w:cs="Garamond" w:ascii="Garamond" w:hAnsi="Garamond"/>
          <w:sz w:val="22"/>
          <w:szCs w:val="22"/>
          <w:lang w:val="en-US"/>
        </w:rPr>
        <w:t>. 2009. 462. Pp. 778–781.</w:t>
      </w:r>
    </w:p>
    <w:p>
      <w:pPr>
        <w:pStyle w:val="Normal"/>
        <w:ind w:start="720" w:end="-31" w:hanging="720"/>
        <w:jc w:val="both"/>
        <w:rPr/>
      </w:pPr>
      <w:r>
        <w:rPr>
          <w:rFonts w:cs="Garamond" w:ascii="Garamond" w:hAnsi="Garamond"/>
          <w:sz w:val="22"/>
          <w:szCs w:val="22"/>
          <w:lang w:val="en-US"/>
        </w:rPr>
        <w:t xml:space="preserve">Gardiner A. H. </w:t>
      </w:r>
      <w:r>
        <w:rPr>
          <w:rFonts w:cs="Garamond" w:ascii="Garamond" w:hAnsi="Garamond"/>
          <w:i/>
          <w:sz w:val="22"/>
          <w:szCs w:val="22"/>
          <w:lang w:val="en-US"/>
        </w:rPr>
        <w:t>Egypt of the Pharaohs</w:t>
      </w:r>
      <w:r>
        <w:rPr>
          <w:rFonts w:cs="Garamond" w:ascii="Garamond" w:hAnsi="Garamond"/>
          <w:sz w:val="22"/>
          <w:szCs w:val="22"/>
          <w:lang w:val="en-US"/>
        </w:rPr>
        <w:t>. Oxford, 1961.</w:t>
      </w:r>
    </w:p>
    <w:p>
      <w:pPr>
        <w:pStyle w:val="Normal"/>
        <w:ind w:start="720" w:end="-31" w:hanging="720"/>
        <w:jc w:val="both"/>
        <w:rPr/>
      </w:pPr>
      <w:r>
        <w:rPr>
          <w:rFonts w:cs="Garamond" w:ascii="Garamond" w:hAnsi="Garamond"/>
          <w:sz w:val="22"/>
          <w:szCs w:val="22"/>
          <w:lang w:val="en-US"/>
        </w:rPr>
        <w:t>Gargani J., Rigollet C., Scarselli S. Isostatic Response and Geomorphological Evolution of the Nile Valley During the Messinian Salinity Crisis.</w:t>
      </w:r>
      <w:r>
        <w:rPr>
          <w:rFonts w:cs="Garamond" w:ascii="Garamond" w:hAnsi="Garamond"/>
          <w:i/>
          <w:sz w:val="22"/>
          <w:szCs w:val="22"/>
          <w:lang w:val="en-US"/>
        </w:rPr>
        <w:t xml:space="preserve"> Bulletin de la Société Géologique de France</w:t>
      </w:r>
      <w:r>
        <w:rPr>
          <w:rFonts w:cs="Garamond" w:ascii="Garamond" w:hAnsi="Garamond"/>
          <w:sz w:val="22"/>
          <w:szCs w:val="22"/>
          <w:lang w:val="en-US"/>
        </w:rPr>
        <w:t>. 2010. 181. Pp. 19–26.</w:t>
      </w:r>
    </w:p>
    <w:p>
      <w:pPr>
        <w:pStyle w:val="Normal"/>
        <w:ind w:start="720" w:end="-31" w:hanging="720"/>
        <w:jc w:val="both"/>
        <w:rPr/>
      </w:pPr>
      <w:r>
        <w:rPr>
          <w:rFonts w:cs="Garamond" w:ascii="Garamond" w:hAnsi="Garamond"/>
          <w:sz w:val="22"/>
          <w:szCs w:val="22"/>
          <w:lang w:val="en-US"/>
        </w:rPr>
        <w:t xml:space="preserve">Gasse F., Street F. A. Late Quaternary Lake-Level Fluctuations and Environments of the Northern Rift Valley and Afar Region (Ethiopia and Djibouti). </w:t>
      </w:r>
      <w:r>
        <w:rPr>
          <w:rFonts w:cs="Garamond" w:ascii="Garamond" w:hAnsi="Garamond"/>
          <w:i/>
          <w:sz w:val="22"/>
          <w:szCs w:val="22"/>
          <w:lang w:val="en-US"/>
        </w:rPr>
        <w:t>Palaeogeography, Palaeoclimatology, Palaeoecology</w:t>
      </w:r>
      <w:r>
        <w:rPr>
          <w:rFonts w:cs="Garamond" w:ascii="Garamond" w:hAnsi="Garamond"/>
          <w:sz w:val="22"/>
          <w:szCs w:val="22"/>
          <w:lang w:val="en-US"/>
        </w:rPr>
        <w:t>. 1978. 24. Pp. 279–325.</w:t>
      </w:r>
    </w:p>
    <w:p>
      <w:pPr>
        <w:pStyle w:val="Normal"/>
        <w:ind w:start="720" w:end="-31" w:hanging="720"/>
        <w:jc w:val="both"/>
        <w:rPr/>
      </w:pPr>
      <w:r>
        <w:rPr>
          <w:rFonts w:cs="Garamond" w:ascii="Garamond" w:hAnsi="Garamond"/>
          <w:sz w:val="22"/>
          <w:szCs w:val="22"/>
          <w:lang w:val="en-US"/>
        </w:rPr>
        <w:t xml:space="preserve">Gatto M. C., Hendrickx S., Roma S., Zampetti D. Rock Art from West Bank Aswan and Wadi Abu Subeira. </w:t>
      </w:r>
      <w:r>
        <w:rPr>
          <w:rFonts w:cs="Garamond" w:ascii="Garamond" w:hAnsi="Garamond"/>
          <w:i/>
          <w:sz w:val="22"/>
          <w:szCs w:val="22"/>
          <w:lang w:val="en-US"/>
        </w:rPr>
        <w:t>Archéo-Nil</w:t>
      </w:r>
      <w:r>
        <w:rPr>
          <w:rFonts w:cs="Garamond" w:ascii="Garamond" w:hAnsi="Garamond"/>
          <w:sz w:val="22"/>
          <w:szCs w:val="22"/>
          <w:lang w:val="en-US"/>
        </w:rPr>
        <w:t>. 2009. 19. Pp. 151–168.</w:t>
      </w:r>
    </w:p>
    <w:p>
      <w:pPr>
        <w:pStyle w:val="Normal"/>
        <w:ind w:start="720" w:end="-31" w:hanging="720"/>
        <w:jc w:val="both"/>
        <w:rPr/>
      </w:pPr>
      <w:r>
        <w:rPr>
          <w:rFonts w:cs="Garamond" w:ascii="Garamond" w:hAnsi="Garamond"/>
          <w:sz w:val="22"/>
          <w:szCs w:val="22"/>
          <w:lang w:val="en-US"/>
        </w:rPr>
        <w:t xml:space="preserve">Grove A., Street F. A., Goudie A. Former Lake Levels and Climatic Change in the Rift Valley of Southern Ethiopia. </w:t>
      </w:r>
      <w:r>
        <w:rPr>
          <w:rFonts w:cs="Garamond" w:ascii="Garamond" w:hAnsi="Garamond"/>
          <w:i/>
          <w:sz w:val="22"/>
          <w:szCs w:val="22"/>
          <w:lang w:val="en-US"/>
        </w:rPr>
        <w:t>Geographical Journal</w:t>
      </w:r>
      <w:r>
        <w:rPr>
          <w:rFonts w:cs="Garamond" w:ascii="Garamond" w:hAnsi="Garamond"/>
          <w:sz w:val="22"/>
          <w:szCs w:val="22"/>
          <w:lang w:val="en-US"/>
        </w:rPr>
        <w:t>. 1975. 141. Pp. 177–202.</w:t>
      </w:r>
    </w:p>
    <w:p>
      <w:pPr>
        <w:pStyle w:val="Normal"/>
        <w:ind w:start="720" w:end="-31" w:hanging="720"/>
        <w:jc w:val="both"/>
        <w:rPr/>
      </w:pPr>
      <w:r>
        <w:rPr>
          <w:rFonts w:cs="Garamond" w:ascii="Garamond" w:hAnsi="Garamond"/>
          <w:bCs/>
          <w:iCs/>
          <w:sz w:val="22"/>
          <w:szCs w:val="22"/>
          <w:lang w:val="en-US"/>
        </w:rPr>
        <w:t xml:space="preserve">Grove A., Warren A. Quaternary Landforms and Climate on the South Side of the Sahara. </w:t>
      </w:r>
      <w:r>
        <w:rPr>
          <w:rFonts w:cs="Garamond" w:ascii="Garamond" w:hAnsi="Garamond"/>
          <w:bCs/>
          <w:i/>
          <w:sz w:val="22"/>
          <w:szCs w:val="22"/>
          <w:lang w:val="en-US"/>
        </w:rPr>
        <w:t>Geographical Journal.</w:t>
      </w:r>
      <w:r>
        <w:rPr>
          <w:rFonts w:cs="Garamond" w:ascii="Garamond" w:hAnsi="Garamond"/>
          <w:bCs/>
          <w:sz w:val="22"/>
          <w:szCs w:val="22"/>
          <w:lang w:val="en-US"/>
        </w:rPr>
        <w:t xml:space="preserve"> 1968. </w:t>
      </w:r>
      <w:r>
        <w:rPr>
          <w:rFonts w:cs="Garamond" w:ascii="Garamond" w:hAnsi="Garamond"/>
          <w:bCs/>
          <w:iCs/>
          <w:sz w:val="22"/>
          <w:szCs w:val="22"/>
          <w:lang w:val="en-US"/>
        </w:rPr>
        <w:t>134. Pp. 194–208.</w:t>
      </w:r>
    </w:p>
    <w:p>
      <w:pPr>
        <w:pStyle w:val="Normal"/>
        <w:ind w:start="720" w:end="-31" w:hanging="720"/>
        <w:jc w:val="both"/>
        <w:rPr/>
      </w:pPr>
      <w:r>
        <w:rPr>
          <w:rFonts w:cs="Garamond" w:ascii="Garamond" w:hAnsi="Garamond"/>
          <w:sz w:val="22"/>
          <w:szCs w:val="22"/>
          <w:lang w:val="en-US"/>
        </w:rPr>
        <w:t>Hassan F. A. Holocene Lakes and Prehistoric Settlements of the Western Faiyum, Egypt.</w:t>
      </w:r>
      <w:r>
        <w:rPr>
          <w:rFonts w:cs="Garamond" w:ascii="Garamond" w:hAnsi="Garamond"/>
          <w:i/>
          <w:sz w:val="22"/>
          <w:szCs w:val="22"/>
          <w:lang w:val="en-US"/>
        </w:rPr>
        <w:t xml:space="preserve"> </w:t>
      </w:r>
      <w:r>
        <w:rPr>
          <w:rFonts w:cs="Garamond" w:ascii="Garamond" w:hAnsi="Garamond"/>
          <w:i/>
          <w:iCs/>
          <w:sz w:val="22"/>
          <w:szCs w:val="22"/>
          <w:lang w:val="en-US"/>
        </w:rPr>
        <w:t>Journal of Archaeological Science</w:t>
      </w:r>
      <w:r>
        <w:rPr>
          <w:rFonts w:cs="Garamond" w:ascii="Garamond" w:hAnsi="Garamond"/>
          <w:sz w:val="22"/>
          <w:szCs w:val="22"/>
          <w:lang w:val="en-US"/>
        </w:rPr>
        <w:t>. 1986. 13. Pp. 483–501.</w:t>
      </w:r>
    </w:p>
    <w:p>
      <w:pPr>
        <w:pStyle w:val="Normal"/>
        <w:ind w:start="720" w:end="-31" w:hanging="720"/>
        <w:jc w:val="both"/>
        <w:rPr/>
      </w:pPr>
      <w:r>
        <w:rPr>
          <w:rFonts w:cs="Garamond" w:ascii="Garamond" w:hAnsi="Garamond"/>
          <w:sz w:val="22"/>
          <w:szCs w:val="22"/>
          <w:lang w:val="en-US"/>
        </w:rPr>
        <w:t>Hayes W. C.</w:t>
      </w:r>
      <w:r>
        <w:rPr>
          <w:rFonts w:cs="Garamond" w:ascii="Garamond" w:hAnsi="Garamond"/>
          <w:i/>
          <w:sz w:val="22"/>
          <w:szCs w:val="22"/>
          <w:lang w:val="en-US"/>
        </w:rPr>
        <w:t xml:space="preserve"> Most Ancient Egypt</w:t>
      </w:r>
      <w:r>
        <w:rPr>
          <w:rFonts w:cs="Garamond" w:ascii="Garamond" w:hAnsi="Garamond"/>
          <w:sz w:val="22"/>
          <w:szCs w:val="22"/>
          <w:lang w:val="en-US"/>
        </w:rPr>
        <w:t>. Chicago, 1965.</w:t>
      </w:r>
    </w:p>
    <w:p>
      <w:pPr>
        <w:pStyle w:val="Normal"/>
        <w:ind w:start="720" w:end="-31" w:hanging="720"/>
        <w:jc w:val="both"/>
        <w:rPr/>
      </w:pPr>
      <w:r>
        <w:rPr>
          <w:rFonts w:cs="Garamond" w:ascii="Garamond" w:hAnsi="Garamond"/>
          <w:iCs/>
          <w:sz w:val="22"/>
          <w:szCs w:val="22"/>
          <w:lang w:val="en-US"/>
        </w:rPr>
        <w:t xml:space="preserve">Heinzelin J. de. </w:t>
      </w:r>
      <w:r>
        <w:rPr>
          <w:rFonts w:cs="Garamond" w:ascii="Garamond" w:hAnsi="Garamond"/>
          <w:sz w:val="22"/>
          <w:szCs w:val="22"/>
          <w:lang w:val="en-US"/>
        </w:rPr>
        <w:t xml:space="preserve">Geological History of the Nile Valley in Nubia. Wendorf F. A. (ed.). </w:t>
      </w:r>
      <w:r>
        <w:rPr>
          <w:rFonts w:cs="Garamond" w:ascii="Garamond" w:hAnsi="Garamond"/>
          <w:i/>
          <w:iCs/>
          <w:sz w:val="22"/>
          <w:szCs w:val="22"/>
          <w:lang w:val="de-DE"/>
        </w:rPr>
        <w:t>The Prehistory of Nubia</w:t>
      </w:r>
      <w:r>
        <w:rPr>
          <w:rFonts w:cs="Garamond" w:ascii="Garamond" w:hAnsi="Garamond"/>
          <w:iCs/>
          <w:sz w:val="22"/>
          <w:szCs w:val="22"/>
          <w:lang w:val="de-DE"/>
        </w:rPr>
        <w:t>. Vol. 1.</w:t>
      </w:r>
      <w:r>
        <w:rPr>
          <w:rFonts w:cs="Garamond" w:ascii="Garamond" w:hAnsi="Garamond"/>
          <w:sz w:val="22"/>
          <w:szCs w:val="22"/>
          <w:lang w:val="de-DE"/>
        </w:rPr>
        <w:t xml:space="preserve"> Dallas, 1968. Pp. 19–55.</w:t>
      </w:r>
    </w:p>
    <w:p>
      <w:pPr>
        <w:pStyle w:val="Normal"/>
        <w:ind w:start="720" w:end="-31" w:hanging="720"/>
        <w:jc w:val="both"/>
        <w:rPr/>
      </w:pPr>
      <w:r>
        <w:rPr>
          <w:rFonts w:cs="Garamond" w:ascii="Garamond" w:hAnsi="Garamond"/>
          <w:sz w:val="22"/>
          <w:szCs w:val="22"/>
          <w:lang w:val="de-DE"/>
        </w:rPr>
        <w:t>Helck W. Nilhöhe und Jubiläumsfest.</w:t>
      </w:r>
      <w:r>
        <w:rPr>
          <w:rFonts w:cs="Garamond" w:ascii="Garamond" w:hAnsi="Garamond"/>
          <w:i/>
          <w:sz w:val="22"/>
          <w:szCs w:val="22"/>
          <w:lang w:val="de-DE"/>
        </w:rPr>
        <w:t xml:space="preserve"> </w:t>
      </w:r>
      <w:r>
        <w:rPr>
          <w:rFonts w:cs="Garamond" w:ascii="Garamond" w:hAnsi="Garamond"/>
          <w:i/>
          <w:iCs/>
          <w:sz w:val="22"/>
          <w:szCs w:val="22"/>
          <w:lang w:val="de-DE"/>
        </w:rPr>
        <w:t>Zeitschrift für ägyptische Sprache und Altertumskunde</w:t>
      </w:r>
      <w:r>
        <w:rPr>
          <w:rFonts w:cs="Garamond" w:ascii="Garamond" w:hAnsi="Garamond"/>
          <w:sz w:val="22"/>
          <w:szCs w:val="22"/>
          <w:lang w:val="de-DE"/>
        </w:rPr>
        <w:t xml:space="preserve">. </w:t>
      </w:r>
      <w:r>
        <w:rPr>
          <w:rFonts w:cs="Garamond" w:ascii="Garamond" w:hAnsi="Garamond"/>
          <w:sz w:val="22"/>
          <w:szCs w:val="22"/>
          <w:lang w:val="en-US"/>
        </w:rPr>
        <w:t>1966. 93. S. 74–76.</w:t>
      </w:r>
    </w:p>
    <w:p>
      <w:pPr>
        <w:pStyle w:val="Normal"/>
        <w:ind w:start="720" w:end="-31" w:hanging="720"/>
        <w:jc w:val="both"/>
        <w:rPr>
          <w:rFonts w:ascii="Garamond" w:hAnsi="Garamond" w:cs="Garamond"/>
          <w:sz w:val="22"/>
          <w:szCs w:val="22"/>
          <w:lang w:val="en-US"/>
        </w:rPr>
      </w:pPr>
      <w:r>
        <w:rPr>
          <w:rFonts w:eastAsia="Arial Unicode MS" w:cs="Garamond" w:ascii="Garamond" w:hAnsi="Garamond"/>
          <w:sz w:val="22"/>
          <w:szCs w:val="22"/>
          <w:lang w:val="en-US"/>
        </w:rPr>
        <w:t xml:space="preserve">Hendrickx S., Darnell J. C., Gatto M. C. The Earliest Representations of Royal Power in Egypt: The Rock Drawings of Nag el-Hamdulab (Aswan). </w:t>
      </w:r>
      <w:r>
        <w:rPr>
          <w:rFonts w:eastAsia="Arial Unicode MS" w:cs="Garamond" w:ascii="Garamond" w:hAnsi="Garamond"/>
          <w:i/>
          <w:sz w:val="22"/>
          <w:szCs w:val="22"/>
          <w:lang w:val="en-US"/>
        </w:rPr>
        <w:t>Antiquity</w:t>
      </w:r>
      <w:r>
        <w:rPr>
          <w:rFonts w:eastAsia="Arial Unicode MS" w:cs="Garamond" w:ascii="Garamond" w:hAnsi="Garamond"/>
          <w:sz w:val="22"/>
          <w:szCs w:val="22"/>
          <w:lang w:val="en-US"/>
        </w:rPr>
        <w:t>. 2012. 86. Pp. 1068–1083.</w:t>
      </w:r>
    </w:p>
    <w:p>
      <w:pPr>
        <w:pStyle w:val="Normal"/>
        <w:ind w:start="720" w:end="-31" w:hanging="720"/>
        <w:jc w:val="both"/>
        <w:rPr/>
      </w:pPr>
      <w:r>
        <w:rPr>
          <w:rFonts w:cs="Garamond" w:ascii="Garamond" w:hAnsi="Garamond"/>
          <w:sz w:val="22"/>
          <w:szCs w:val="22"/>
          <w:lang w:val="en-US"/>
        </w:rPr>
        <w:t xml:space="preserve">Hinkel F. Progress Report on the Dismantling and Removal of Endangered Monuments in Sudanese Nubia from August 1963 to August 1964. </w:t>
      </w:r>
      <w:r>
        <w:rPr>
          <w:rFonts w:cs="Garamond" w:ascii="Garamond" w:hAnsi="Garamond"/>
          <w:i/>
          <w:sz w:val="22"/>
          <w:szCs w:val="22"/>
          <w:lang w:val="en-US"/>
        </w:rPr>
        <w:t>Kush</w:t>
      </w:r>
      <w:r>
        <w:rPr>
          <w:rFonts w:cs="Garamond" w:ascii="Garamond" w:hAnsi="Garamond"/>
          <w:sz w:val="22"/>
          <w:szCs w:val="22"/>
          <w:lang w:val="en-US"/>
        </w:rPr>
        <w:t>. 1965. 13. Pp. 96–101.</w:t>
      </w:r>
    </w:p>
    <w:p>
      <w:pPr>
        <w:pStyle w:val="Normal"/>
        <w:ind w:start="720" w:end="-31" w:hanging="720"/>
        <w:jc w:val="both"/>
        <w:rPr/>
      </w:pPr>
      <w:r>
        <w:rPr>
          <w:rFonts w:cs="Garamond" w:ascii="Garamond" w:hAnsi="Garamond"/>
          <w:sz w:val="22"/>
          <w:szCs w:val="22"/>
          <w:lang w:val="en-US"/>
        </w:rPr>
        <w:t xml:space="preserve">Honegger M. The Pre-Kerma. A Cultural Group from Upper Nubia Prior to the Kerma Civilization. </w:t>
      </w:r>
      <w:r>
        <w:rPr>
          <w:rFonts w:cs="Garamond" w:ascii="Garamond" w:hAnsi="Garamond"/>
          <w:i/>
          <w:sz w:val="22"/>
          <w:szCs w:val="22"/>
          <w:lang w:val="en-US"/>
        </w:rPr>
        <w:t>Sudan &amp; Nubia. The Sudan Archaeological Research Society Bulletin.</w:t>
      </w:r>
      <w:r>
        <w:rPr>
          <w:rFonts w:cs="Garamond" w:ascii="Garamond" w:hAnsi="Garamond"/>
          <w:sz w:val="22"/>
          <w:szCs w:val="22"/>
          <w:lang w:val="en-US"/>
        </w:rPr>
        <w:t xml:space="preserve"> 2004. 8. Pp. 38–46.</w:t>
      </w:r>
    </w:p>
    <w:p>
      <w:pPr>
        <w:pStyle w:val="Normal"/>
        <w:ind w:start="720" w:end="-31" w:hanging="720"/>
        <w:jc w:val="both"/>
        <w:rPr/>
      </w:pPr>
      <w:r>
        <w:rPr>
          <w:rFonts w:cs="Garamond" w:ascii="Garamond" w:hAnsi="Garamond"/>
          <w:sz w:val="22"/>
          <w:szCs w:val="22"/>
          <w:lang w:val="en-US"/>
        </w:rPr>
        <w:t xml:space="preserve">Honegger M., Williams M. A. J. Human Occupations and Environmental Changes in the Nile Valley During the Holocene: The Case of Kerma in Upper Nubia (Northern Sudan). </w:t>
      </w:r>
      <w:r>
        <w:rPr>
          <w:rFonts w:cs="Garamond" w:ascii="Garamond" w:hAnsi="Garamond"/>
          <w:i/>
          <w:iCs/>
          <w:sz w:val="22"/>
          <w:szCs w:val="22"/>
          <w:lang w:val="en-US"/>
        </w:rPr>
        <w:t>Quaternary Science Reviews</w:t>
      </w:r>
      <w:r>
        <w:rPr>
          <w:rFonts w:cs="Garamond" w:ascii="Garamond" w:hAnsi="Garamond"/>
          <w:sz w:val="22"/>
          <w:szCs w:val="22"/>
          <w:lang w:val="en-US"/>
        </w:rPr>
        <w:t>. 2015. 130. Pp. 141–154.</w:t>
      </w:r>
    </w:p>
    <w:p>
      <w:pPr>
        <w:pStyle w:val="Normal"/>
        <w:ind w:start="720" w:end="-31" w:hanging="720"/>
        <w:jc w:val="both"/>
        <w:rPr/>
      </w:pPr>
      <w:r>
        <w:rPr>
          <w:rFonts w:cs="Garamond" w:ascii="Garamond" w:hAnsi="Garamond"/>
          <w:sz w:val="22"/>
          <w:szCs w:val="22"/>
          <w:lang w:val="en-US"/>
        </w:rPr>
        <w:t xml:space="preserve">Hsü K. J. </w:t>
      </w:r>
      <w:r>
        <w:rPr>
          <w:rFonts w:cs="Garamond" w:ascii="Garamond" w:hAnsi="Garamond"/>
          <w:i/>
          <w:sz w:val="22"/>
          <w:szCs w:val="22"/>
          <w:lang w:val="en-US"/>
        </w:rPr>
        <w:t>The Mediterranean Was a Desert: A Voyage of the “Glomar Challenger”</w:t>
      </w:r>
      <w:r>
        <w:rPr>
          <w:rFonts w:cs="Garamond" w:ascii="Garamond" w:hAnsi="Garamond"/>
          <w:sz w:val="22"/>
          <w:szCs w:val="22"/>
          <w:lang w:val="en-US"/>
        </w:rPr>
        <w:t>. Princeton, 1983.</w:t>
      </w:r>
    </w:p>
    <w:p>
      <w:pPr>
        <w:pStyle w:val="Normal"/>
        <w:ind w:start="720" w:end="-31" w:hanging="720"/>
        <w:jc w:val="both"/>
        <w:rPr/>
      </w:pPr>
      <w:r>
        <w:rPr>
          <w:rFonts w:cs="Garamond" w:ascii="Garamond" w:hAnsi="Garamond"/>
          <w:sz w:val="22"/>
          <w:szCs w:val="22"/>
          <w:lang w:val="en-US"/>
        </w:rPr>
        <w:t xml:space="preserve">Hsü K. J., Montadert L., Bernoulli D., Cita M. B., Erickson A., Garrison R. E., Kidd R. B., Mèlierés F., Müller C., Wright R. History of the Mediterranean Salinity Crisis. </w:t>
      </w:r>
      <w:r>
        <w:rPr>
          <w:rFonts w:cs="Garamond" w:ascii="Garamond" w:hAnsi="Garamond"/>
          <w:i/>
          <w:sz w:val="22"/>
          <w:szCs w:val="22"/>
          <w:lang w:val="en-US"/>
        </w:rPr>
        <w:t>Nature</w:t>
      </w:r>
      <w:r>
        <w:rPr>
          <w:rFonts w:cs="Garamond" w:ascii="Garamond" w:hAnsi="Garamond"/>
          <w:sz w:val="22"/>
          <w:szCs w:val="22"/>
          <w:lang w:val="en-US"/>
        </w:rPr>
        <w:t>. 1977. 267. Pp. 399–403.</w:t>
      </w:r>
    </w:p>
    <w:p>
      <w:pPr>
        <w:pStyle w:val="Normal"/>
        <w:ind w:start="720" w:end="-31" w:hanging="720"/>
        <w:jc w:val="both"/>
        <w:rPr/>
      </w:pPr>
      <w:r>
        <w:rPr>
          <w:rFonts w:cs="Garamond" w:ascii="Garamond" w:hAnsi="Garamond"/>
          <w:sz w:val="22"/>
          <w:szCs w:val="22"/>
          <w:lang w:val="en-US"/>
        </w:rPr>
        <w:t xml:space="preserve">Hsü K. J., Ryan W. B. F., Cita M. B. Late Miocene Desiccation of the Mediterranean. </w:t>
      </w:r>
      <w:r>
        <w:rPr>
          <w:rFonts w:cs="Garamond" w:ascii="Garamond" w:hAnsi="Garamond"/>
          <w:i/>
          <w:sz w:val="22"/>
          <w:szCs w:val="22"/>
          <w:lang w:val="en-US"/>
        </w:rPr>
        <w:t>Nature</w:t>
      </w:r>
      <w:r>
        <w:rPr>
          <w:rFonts w:cs="Garamond" w:ascii="Garamond" w:hAnsi="Garamond"/>
          <w:sz w:val="22"/>
          <w:szCs w:val="22"/>
          <w:lang w:val="en-US"/>
        </w:rPr>
        <w:t>. 1973. 242. Pp. 240–244.</w:t>
      </w:r>
    </w:p>
    <w:p>
      <w:pPr>
        <w:pStyle w:val="Normal"/>
        <w:ind w:start="720" w:end="-31" w:hanging="720"/>
        <w:jc w:val="both"/>
        <w:rPr/>
      </w:pPr>
      <w:r>
        <w:rPr>
          <w:rFonts w:cs="Garamond" w:ascii="Garamond" w:hAnsi="Garamond"/>
          <w:sz w:val="22"/>
          <w:szCs w:val="22"/>
          <w:lang w:val="en-US"/>
        </w:rPr>
        <w:t xml:space="preserve">Huyge D. ‘Lascaux Along the Nile’: The Palaeolithic Rock Art of Qurta (Upper Egypt). </w:t>
      </w:r>
      <w:r>
        <w:rPr>
          <w:rFonts w:cs="Garamond" w:ascii="Garamond" w:hAnsi="Garamond"/>
          <w:i/>
          <w:sz w:val="22"/>
          <w:szCs w:val="22"/>
          <w:lang w:val="en-US"/>
        </w:rPr>
        <w:t>Bulletin des Séances de l’Académie Royale des Sciences d’Outre-Mer</w:t>
      </w:r>
      <w:r>
        <w:rPr>
          <w:rFonts w:cs="Garamond" w:ascii="Garamond" w:hAnsi="Garamond"/>
          <w:sz w:val="22"/>
          <w:szCs w:val="22"/>
          <w:lang w:val="en-US"/>
        </w:rPr>
        <w:t>. 2008. 54. Pp. 281–296.</w:t>
      </w:r>
    </w:p>
    <w:p>
      <w:pPr>
        <w:pStyle w:val="Normal"/>
        <w:ind w:start="720" w:end="-31" w:hanging="720"/>
        <w:jc w:val="both"/>
        <w:rPr/>
      </w:pPr>
      <w:r>
        <w:rPr>
          <w:rFonts w:cs="Garamond" w:ascii="Garamond" w:hAnsi="Garamond"/>
          <w:sz w:val="22"/>
          <w:szCs w:val="22"/>
          <w:lang w:val="en-US"/>
        </w:rPr>
        <w:t xml:space="preserve">Huyge D. Cosmology, Ideology and Personal Religious Practice in Ancient Egyptian Rock Art. Friedman R. F. (ed.). </w:t>
      </w:r>
      <w:r>
        <w:rPr>
          <w:rFonts w:cs="Garamond" w:ascii="Garamond" w:hAnsi="Garamond"/>
          <w:i/>
          <w:sz w:val="22"/>
          <w:szCs w:val="22"/>
          <w:lang w:val="en-US"/>
        </w:rPr>
        <w:t>Egypt and Nubia: Gifts of the Desert.</w:t>
      </w:r>
      <w:r>
        <w:rPr>
          <w:rFonts w:cs="Garamond" w:ascii="Garamond" w:hAnsi="Garamond"/>
          <w:sz w:val="22"/>
          <w:szCs w:val="22"/>
          <w:lang w:val="en-US"/>
        </w:rPr>
        <w:t xml:space="preserve"> London, 2002. Pp. 192–206.</w:t>
      </w:r>
    </w:p>
    <w:p>
      <w:pPr>
        <w:pStyle w:val="Normal"/>
        <w:ind w:start="720" w:end="-31" w:hanging="720"/>
        <w:jc w:val="both"/>
        <w:rPr/>
      </w:pPr>
      <w:r>
        <w:rPr>
          <w:rFonts w:cs="Garamond" w:ascii="Garamond" w:hAnsi="Garamond"/>
          <w:sz w:val="22"/>
          <w:szCs w:val="22"/>
          <w:lang w:val="en-US"/>
        </w:rPr>
        <w:t xml:space="preserve">Huyge D. Possible Representations of Palaeolithic Fish-Traps in Upper Egyptian Rock Art. </w:t>
      </w:r>
      <w:r>
        <w:rPr>
          <w:rFonts w:cs="Garamond" w:ascii="Garamond" w:hAnsi="Garamond"/>
          <w:i/>
          <w:sz w:val="22"/>
          <w:szCs w:val="22"/>
          <w:lang w:val="en-US"/>
        </w:rPr>
        <w:t>Rock Art Research. Journal of the Australian Rock Art Research Association</w:t>
      </w:r>
      <w:r>
        <w:rPr>
          <w:rFonts w:cs="Garamond" w:ascii="Garamond" w:hAnsi="Garamond"/>
          <w:sz w:val="22"/>
          <w:szCs w:val="22"/>
          <w:lang w:val="en-US"/>
        </w:rPr>
        <w:t>. 1998. 15. Pp. 3–11.</w:t>
      </w:r>
    </w:p>
    <w:p>
      <w:pPr>
        <w:pStyle w:val="Normal"/>
        <w:ind w:start="720" w:end="-31" w:hanging="720"/>
        <w:jc w:val="both"/>
        <w:rPr/>
      </w:pPr>
      <w:r>
        <w:rPr>
          <w:rFonts w:cs="Garamond" w:ascii="Garamond" w:hAnsi="Garamond"/>
          <w:sz w:val="22"/>
          <w:szCs w:val="22"/>
          <w:lang w:val="en-US"/>
        </w:rPr>
        <w:t xml:space="preserve">Huyge D. The Fish Hunters of El-Hosh: Rock Art Research and Archaeological Investigations in Upper Egypt (1998–2004). </w:t>
      </w:r>
      <w:r>
        <w:rPr>
          <w:rFonts w:cs="Garamond" w:ascii="Garamond" w:hAnsi="Garamond"/>
          <w:i/>
          <w:sz w:val="22"/>
          <w:szCs w:val="22"/>
          <w:lang w:val="en-US"/>
        </w:rPr>
        <w:t>Bulletin des Séances de l’Académie Royale des Sciences d’Outre-Mer</w:t>
      </w:r>
      <w:r>
        <w:rPr>
          <w:rFonts w:cs="Garamond" w:ascii="Garamond" w:hAnsi="Garamond"/>
          <w:sz w:val="22"/>
          <w:szCs w:val="22"/>
          <w:lang w:val="en-US"/>
        </w:rPr>
        <w:t>. 2005. 51. Pp. 231–249.</w:t>
      </w:r>
    </w:p>
    <w:p>
      <w:pPr>
        <w:pStyle w:val="Normal"/>
        <w:ind w:start="720" w:end="-31" w:hanging="720"/>
        <w:jc w:val="both"/>
        <w:rPr/>
      </w:pPr>
      <w:r>
        <w:rPr>
          <w:rFonts w:cs="Garamond" w:ascii="Garamond" w:hAnsi="Garamond"/>
          <w:sz w:val="22"/>
          <w:szCs w:val="22"/>
          <w:lang w:val="en-US"/>
        </w:rPr>
        <w:t xml:space="preserve">Huyge D., Watchman A., De Dapper M., Marchi E. Dating Egypt’s Oldest ‘Art’: AMS 14C Age Determinations of Rock Varnishes Covering Petroglyphs at El-Hosh (Upper Egypt). </w:t>
      </w:r>
      <w:r>
        <w:rPr>
          <w:rFonts w:cs="Garamond" w:ascii="Garamond" w:hAnsi="Garamond"/>
          <w:i/>
          <w:sz w:val="22"/>
          <w:szCs w:val="22"/>
          <w:lang w:val="en-US"/>
        </w:rPr>
        <w:t>Antiquity</w:t>
      </w:r>
      <w:r>
        <w:rPr>
          <w:rFonts w:cs="Garamond" w:ascii="Garamond" w:hAnsi="Garamond"/>
          <w:sz w:val="22"/>
          <w:szCs w:val="22"/>
          <w:lang w:val="en-US"/>
        </w:rPr>
        <w:t xml:space="preserve">. </w:t>
      </w:r>
      <w:r>
        <w:rPr>
          <w:rFonts w:cs="Garamond" w:ascii="Garamond" w:hAnsi="Garamond"/>
          <w:sz w:val="22"/>
          <w:szCs w:val="22"/>
          <w:lang w:val="de-DE"/>
        </w:rPr>
        <w:t>2001. 75. Pp. 68–72.</w:t>
      </w:r>
    </w:p>
    <w:p>
      <w:pPr>
        <w:pStyle w:val="Normal"/>
        <w:ind w:start="720" w:end="-31" w:hanging="720"/>
        <w:jc w:val="both"/>
        <w:rPr/>
      </w:pPr>
      <w:r>
        <w:rPr>
          <w:rFonts w:cs="Garamond" w:ascii="Garamond" w:hAnsi="Garamond"/>
          <w:sz w:val="22"/>
          <w:szCs w:val="22"/>
          <w:lang w:val="de-DE"/>
        </w:rPr>
        <w:t xml:space="preserve">Jaritz H. Zum Heiligtum am Gebel Tingar. </w:t>
      </w:r>
      <w:r>
        <w:rPr>
          <w:rFonts w:cs="Garamond" w:ascii="Garamond" w:hAnsi="Garamond"/>
          <w:i/>
          <w:iCs/>
          <w:sz w:val="22"/>
          <w:szCs w:val="22"/>
          <w:lang w:val="de-DE"/>
        </w:rPr>
        <w:t>Mitteilungen des Deutschen archäologischen Instituts, Abteilung Kairo</w:t>
      </w:r>
      <w:r>
        <w:rPr>
          <w:rFonts w:cs="Garamond" w:ascii="Garamond" w:hAnsi="Garamond"/>
          <w:iCs/>
          <w:sz w:val="22"/>
          <w:szCs w:val="22"/>
          <w:lang w:val="de-DE"/>
        </w:rPr>
        <w:t>.</w:t>
      </w:r>
      <w:r>
        <w:rPr>
          <w:rFonts w:cs="Garamond" w:ascii="Garamond" w:hAnsi="Garamond"/>
          <w:sz w:val="22"/>
          <w:szCs w:val="22"/>
          <w:lang w:val="de-DE"/>
        </w:rPr>
        <w:t xml:space="preserve"> 1981. 37. S. 241–246.</w:t>
      </w:r>
    </w:p>
    <w:p>
      <w:pPr>
        <w:pStyle w:val="Normal"/>
        <w:ind w:start="720" w:end="-31" w:hanging="720"/>
        <w:jc w:val="both"/>
        <w:rPr/>
      </w:pPr>
      <w:r>
        <w:rPr>
          <w:rFonts w:cs="Garamond" w:ascii="Garamond" w:hAnsi="Garamond"/>
          <w:sz w:val="22"/>
          <w:szCs w:val="22"/>
          <w:lang w:val="de-DE"/>
        </w:rPr>
        <w:t xml:space="preserve">Kaiser W., Bommas M., Jaritz H., Krekeler A., Pilgrim C. von, Schultz M., Schmidt-Schultz T., Ziermann M. Stadt und Tempel von Elephantine: 19./20. Grabungsbericht. </w:t>
      </w:r>
      <w:r>
        <w:rPr>
          <w:rFonts w:cs="Garamond" w:ascii="Garamond" w:hAnsi="Garamond"/>
          <w:i/>
          <w:iCs/>
          <w:sz w:val="22"/>
          <w:szCs w:val="22"/>
          <w:lang w:val="de-DE"/>
        </w:rPr>
        <w:t>Mitteilungen des Deutschen archäologischen Instituts, Abteilung Kairo</w:t>
      </w:r>
      <w:r>
        <w:rPr>
          <w:rFonts w:cs="Garamond" w:ascii="Garamond" w:hAnsi="Garamond"/>
          <w:iCs/>
          <w:sz w:val="22"/>
          <w:szCs w:val="22"/>
          <w:lang w:val="de-DE"/>
        </w:rPr>
        <w:t>. 1993. 49. S. 133–187.</w:t>
      </w:r>
    </w:p>
    <w:p>
      <w:pPr>
        <w:pStyle w:val="Normal"/>
        <w:ind w:start="720" w:end="-31" w:hanging="720"/>
        <w:jc w:val="both"/>
        <w:rPr/>
      </w:pPr>
      <w:r>
        <w:rPr>
          <w:rFonts w:cs="Garamond" w:ascii="Garamond" w:hAnsi="Garamond"/>
          <w:sz w:val="22"/>
          <w:szCs w:val="22"/>
          <w:lang w:val="de-DE"/>
        </w:rPr>
        <w:t xml:space="preserve">Kaiser W., Dreyer G., Jaritz H., Kretzeler A., Lindemann J., Pilgrim C. von, Seidlmayer St., Ziermann M. Stadt und Tempel von Elephantine: 15./16. Grabungsbericht. </w:t>
      </w:r>
      <w:r>
        <w:rPr>
          <w:rFonts w:cs="Garamond" w:ascii="Garamond" w:hAnsi="Garamond"/>
          <w:i/>
          <w:iCs/>
          <w:sz w:val="22"/>
          <w:szCs w:val="22"/>
          <w:lang w:val="de-DE"/>
        </w:rPr>
        <w:t>Mitteilungen des Deutschen archäologischen Instituts, Abteilung Kairo</w:t>
      </w:r>
      <w:r>
        <w:rPr>
          <w:rFonts w:cs="Garamond" w:ascii="Garamond" w:hAnsi="Garamond"/>
          <w:iCs/>
          <w:sz w:val="22"/>
          <w:szCs w:val="22"/>
          <w:lang w:val="de-DE"/>
        </w:rPr>
        <w:t xml:space="preserve">. 1988. </w:t>
      </w:r>
      <w:r>
        <w:rPr>
          <w:rFonts w:cs="Garamond" w:ascii="Garamond" w:hAnsi="Garamond"/>
          <w:iCs/>
          <w:sz w:val="22"/>
          <w:szCs w:val="22"/>
          <w:lang w:val="en-US"/>
        </w:rPr>
        <w:t>44. S. 135–182.</w:t>
      </w:r>
    </w:p>
    <w:p>
      <w:pPr>
        <w:pStyle w:val="Normal"/>
        <w:ind w:start="720" w:end="-31" w:hanging="720"/>
        <w:jc w:val="both"/>
        <w:rPr/>
      </w:pPr>
      <w:r>
        <w:rPr>
          <w:rFonts w:cs="Garamond" w:ascii="Garamond" w:hAnsi="Garamond"/>
          <w:sz w:val="22"/>
          <w:szCs w:val="22"/>
          <w:lang w:val="en-US"/>
        </w:rPr>
        <w:t>Kozlowski J. K., Ginter B. Holocene Changes in the Fayum: Lake Moeris and the Evolution of Climate in Northeastern Africa. Krzyzaniak L., Kobusiewicz M., Alexander</w:t>
      </w:r>
      <w:r>
        <w:rPr>
          <w:rFonts w:cs="Garamond" w:ascii="Garamond" w:hAnsi="Garamond"/>
          <w:iCs/>
          <w:sz w:val="22"/>
          <w:szCs w:val="22"/>
          <w:lang w:val="en-US"/>
        </w:rPr>
        <w:t xml:space="preserve"> J. A. (eds.). </w:t>
      </w:r>
      <w:r>
        <w:rPr>
          <w:rFonts w:cs="Garamond" w:ascii="Garamond" w:hAnsi="Garamond"/>
          <w:i/>
          <w:iCs/>
          <w:sz w:val="22"/>
          <w:szCs w:val="22"/>
          <w:lang w:val="en-US"/>
        </w:rPr>
        <w:t>Environmental Change and Human Culture in the Nile Basin and Northern Africa Until the Second Millennium B. C.</w:t>
      </w:r>
      <w:r>
        <w:rPr>
          <w:rFonts w:cs="Garamond" w:ascii="Garamond" w:hAnsi="Garamond"/>
          <w:sz w:val="22"/>
          <w:szCs w:val="22"/>
          <w:lang w:val="en-US"/>
        </w:rPr>
        <w:t xml:space="preserve"> Poznan, 1993. Pp. 327–336.</w:t>
      </w:r>
    </w:p>
    <w:p>
      <w:pPr>
        <w:pStyle w:val="Normal"/>
        <w:ind w:start="720" w:end="-31" w:hanging="720"/>
        <w:jc w:val="both"/>
        <w:rPr/>
      </w:pPr>
      <w:r>
        <w:rPr>
          <w:rFonts w:cs="Garamond" w:ascii="Garamond" w:hAnsi="Garamond"/>
          <w:sz w:val="22"/>
          <w:szCs w:val="22"/>
          <w:lang w:val="en-US"/>
        </w:rPr>
        <w:t xml:space="preserve">Kuper R., Kröpelin S. Climate-Controlled Holocene Occupation in the Sahara: Motor of Africa’s Evolution. </w:t>
      </w:r>
      <w:r>
        <w:rPr>
          <w:rFonts w:cs="Garamond" w:ascii="Garamond" w:hAnsi="Garamond"/>
          <w:i/>
          <w:sz w:val="22"/>
          <w:szCs w:val="22"/>
          <w:lang w:val="en-US"/>
        </w:rPr>
        <w:t>Science</w:t>
      </w:r>
      <w:r>
        <w:rPr>
          <w:rFonts w:cs="Garamond" w:ascii="Garamond" w:hAnsi="Garamond"/>
          <w:sz w:val="22"/>
          <w:szCs w:val="22"/>
          <w:lang w:val="en-US"/>
        </w:rPr>
        <w:t xml:space="preserve">. </w:t>
      </w:r>
      <w:r>
        <w:rPr>
          <w:rFonts w:cs="Garamond" w:ascii="Garamond" w:hAnsi="Garamond"/>
          <w:sz w:val="22"/>
          <w:szCs w:val="22"/>
          <w:lang w:val="fr-FR"/>
        </w:rPr>
        <w:t>2006. 313. Pp. 803–807.</w:t>
      </w:r>
    </w:p>
    <w:p>
      <w:pPr>
        <w:pStyle w:val="Normal"/>
        <w:ind w:start="720" w:end="-31" w:hanging="720"/>
        <w:jc w:val="both"/>
        <w:rPr/>
      </w:pPr>
      <w:r>
        <w:rPr>
          <w:rFonts w:cs="Garamond" w:ascii="Garamond" w:hAnsi="Garamond"/>
          <w:sz w:val="22"/>
          <w:szCs w:val="22"/>
          <w:lang w:val="fr-FR"/>
        </w:rPr>
        <w:t xml:space="preserve">Le Quellec J.-L. Périodisation et chronologie des images rupestres du Sahara central. </w:t>
      </w:r>
      <w:r>
        <w:rPr>
          <w:rFonts w:cs="Garamond" w:ascii="Garamond" w:hAnsi="Garamond"/>
          <w:i/>
          <w:sz w:val="22"/>
          <w:szCs w:val="22"/>
          <w:lang w:val="fr-FR"/>
        </w:rPr>
        <w:t>Préhistoires Méditerranéennes</w:t>
      </w:r>
      <w:r>
        <w:rPr>
          <w:rFonts w:cs="Garamond" w:ascii="Garamond" w:hAnsi="Garamond"/>
          <w:sz w:val="22"/>
          <w:szCs w:val="22"/>
          <w:lang w:val="fr-FR"/>
        </w:rPr>
        <w:t xml:space="preserve">. </w:t>
      </w:r>
      <w:r>
        <w:rPr>
          <w:rFonts w:cs="Garamond" w:ascii="Garamond" w:hAnsi="Garamond"/>
          <w:sz w:val="22"/>
          <w:szCs w:val="22"/>
          <w:lang w:val="en-US"/>
        </w:rPr>
        <w:t>2013. 4. Pp. 2–45.</w:t>
      </w:r>
    </w:p>
    <w:p>
      <w:pPr>
        <w:pStyle w:val="Normal"/>
        <w:ind w:start="720" w:end="-31" w:hanging="720"/>
        <w:jc w:val="both"/>
        <w:rPr/>
      </w:pPr>
      <w:r>
        <w:rPr>
          <w:rFonts w:cs="Garamond" w:ascii="Garamond" w:hAnsi="Garamond"/>
          <w:sz w:val="22"/>
          <w:szCs w:val="22"/>
          <w:lang w:val="en-US"/>
        </w:rPr>
        <w:t>Little O. H. Recent Geological Work in the Fayum and in the Adjoining Portion of the Nile Valley.</w:t>
      </w:r>
      <w:r>
        <w:rPr>
          <w:rFonts w:cs="Garamond" w:ascii="Garamond" w:hAnsi="Garamond"/>
          <w:i/>
          <w:sz w:val="22"/>
          <w:szCs w:val="22"/>
          <w:lang w:val="en-US"/>
        </w:rPr>
        <w:t xml:space="preserve"> </w:t>
      </w:r>
      <w:r>
        <w:rPr>
          <w:rFonts w:cs="Garamond" w:ascii="Garamond" w:hAnsi="Garamond"/>
          <w:i/>
          <w:iCs/>
          <w:sz w:val="22"/>
          <w:szCs w:val="22"/>
          <w:lang w:val="en-US"/>
        </w:rPr>
        <w:t>Bulletin de l’Institut d’</w:t>
      </w:r>
      <w:r>
        <w:rPr>
          <w:rFonts w:cs="Garamond" w:ascii="Garamond" w:hAnsi="Garamond"/>
          <w:i/>
          <w:sz w:val="22"/>
          <w:szCs w:val="22"/>
          <w:lang w:val="en-US"/>
        </w:rPr>
        <w:t>É</w:t>
      </w:r>
      <w:r>
        <w:rPr>
          <w:rFonts w:cs="Garamond" w:ascii="Garamond" w:hAnsi="Garamond"/>
          <w:i/>
          <w:iCs/>
          <w:sz w:val="22"/>
          <w:szCs w:val="22"/>
          <w:lang w:val="en-US"/>
        </w:rPr>
        <w:t>gypte</w:t>
      </w:r>
      <w:r>
        <w:rPr>
          <w:rFonts w:cs="Garamond" w:ascii="Garamond" w:hAnsi="Garamond"/>
          <w:sz w:val="22"/>
          <w:szCs w:val="22"/>
          <w:lang w:val="en-US"/>
        </w:rPr>
        <w:t>. 1936. 18. Pp. 201–240.</w:t>
      </w:r>
    </w:p>
    <w:p>
      <w:pPr>
        <w:pStyle w:val="Normal"/>
        <w:ind w:start="720" w:end="-31" w:hanging="720"/>
        <w:jc w:val="both"/>
        <w:rPr/>
      </w:pPr>
      <w:r>
        <w:rPr>
          <w:rFonts w:cs="Garamond" w:ascii="Garamond" w:hAnsi="Garamond"/>
          <w:sz w:val="22"/>
          <w:szCs w:val="22"/>
          <w:lang w:val="en-US"/>
        </w:rPr>
        <w:t xml:space="preserve">McKenzie J. A. From Desert to Deluge in the Mediterranean. </w:t>
      </w:r>
      <w:r>
        <w:rPr>
          <w:rFonts w:cs="Garamond" w:ascii="Garamond" w:hAnsi="Garamond"/>
          <w:i/>
          <w:sz w:val="22"/>
          <w:szCs w:val="22"/>
          <w:lang w:val="en-US"/>
        </w:rPr>
        <w:t>Nature</w:t>
      </w:r>
      <w:r>
        <w:rPr>
          <w:rFonts w:cs="Garamond" w:ascii="Garamond" w:hAnsi="Garamond"/>
          <w:sz w:val="22"/>
          <w:szCs w:val="22"/>
          <w:lang w:val="en-US"/>
        </w:rPr>
        <w:t>. 1999. 400. Pp. 613–614.</w:t>
      </w:r>
    </w:p>
    <w:p>
      <w:pPr>
        <w:pStyle w:val="Normal"/>
        <w:ind w:start="720" w:end="-31" w:hanging="720"/>
        <w:jc w:val="both"/>
        <w:rPr/>
      </w:pPr>
      <w:r>
        <w:rPr>
          <w:rFonts w:cs="Garamond" w:ascii="Garamond" w:hAnsi="Garamond"/>
          <w:sz w:val="22"/>
          <w:szCs w:val="22"/>
          <w:lang w:val="en-US"/>
        </w:rPr>
        <w:t xml:space="preserve">Midant-Reynes B. </w:t>
      </w:r>
      <w:r>
        <w:rPr>
          <w:rFonts w:cs="Garamond" w:ascii="Garamond" w:hAnsi="Garamond"/>
          <w:i/>
          <w:sz w:val="22"/>
          <w:szCs w:val="22"/>
          <w:lang w:val="en-US"/>
        </w:rPr>
        <w:t>The Prehistory of Egypt. From the First Egyptians to the First Pharaohs</w:t>
      </w:r>
      <w:r>
        <w:rPr>
          <w:rFonts w:cs="Garamond" w:ascii="Garamond" w:hAnsi="Garamond"/>
          <w:sz w:val="22"/>
          <w:szCs w:val="22"/>
          <w:lang w:val="en-US"/>
        </w:rPr>
        <w:t>. Oxford, 2000.</w:t>
      </w:r>
    </w:p>
    <w:p>
      <w:pPr>
        <w:pStyle w:val="Normal"/>
        <w:ind w:start="720" w:end="-31" w:hanging="720"/>
        <w:jc w:val="both"/>
        <w:rPr/>
      </w:pPr>
      <w:r>
        <w:rPr>
          <w:rFonts w:cs="Garamond" w:ascii="Garamond" w:hAnsi="Garamond"/>
          <w:sz w:val="22"/>
          <w:szCs w:val="22"/>
          <w:lang w:val="en-US"/>
        </w:rPr>
        <w:t xml:space="preserve">Murnane W. J. The Gebel Sheikh Suleiman Monument: Epigraphic Remarks. </w:t>
      </w:r>
      <w:r>
        <w:rPr>
          <w:rFonts w:cs="Garamond" w:ascii="Garamond" w:hAnsi="Garamond"/>
          <w:i/>
          <w:iCs/>
          <w:sz w:val="22"/>
          <w:szCs w:val="22"/>
          <w:lang w:val="en-US"/>
        </w:rPr>
        <w:t>Journal of Near Eastern Studies</w:t>
      </w:r>
      <w:r>
        <w:rPr>
          <w:rFonts w:cs="Garamond" w:ascii="Garamond" w:hAnsi="Garamond"/>
          <w:sz w:val="22"/>
          <w:szCs w:val="22"/>
          <w:lang w:val="en-US"/>
        </w:rPr>
        <w:t>. 1987. 46. Pp. 282–285.</w:t>
      </w:r>
    </w:p>
    <w:p>
      <w:pPr>
        <w:pStyle w:val="Normal"/>
        <w:ind w:start="720" w:end="-31" w:hanging="720"/>
        <w:jc w:val="both"/>
        <w:rPr/>
      </w:pPr>
      <w:r>
        <w:rPr>
          <w:rFonts w:cs="Garamond" w:ascii="Garamond" w:hAnsi="Garamond"/>
          <w:sz w:val="22"/>
          <w:szCs w:val="22"/>
          <w:lang w:val="en-US"/>
        </w:rPr>
        <w:t xml:space="preserve">Muzzolini A. </w:t>
      </w:r>
      <w:r>
        <w:rPr>
          <w:rFonts w:cs="Garamond" w:ascii="Garamond" w:hAnsi="Garamond"/>
          <w:i/>
          <w:sz w:val="22"/>
          <w:szCs w:val="22"/>
          <w:lang w:val="en-US"/>
        </w:rPr>
        <w:t>Les images rupestres du Sahara</w:t>
      </w:r>
      <w:r>
        <w:rPr>
          <w:rFonts w:cs="Garamond" w:ascii="Garamond" w:hAnsi="Garamond"/>
          <w:sz w:val="22"/>
          <w:szCs w:val="22"/>
          <w:lang w:val="en-US"/>
        </w:rPr>
        <w:t>. Toulouse, 1995.</w:t>
      </w:r>
    </w:p>
    <w:p>
      <w:pPr>
        <w:pStyle w:val="Normal"/>
        <w:ind w:start="720" w:end="-31" w:hanging="720"/>
        <w:jc w:val="both"/>
        <w:rPr/>
      </w:pPr>
      <w:r>
        <w:rPr>
          <w:rFonts w:cs="Garamond" w:ascii="Garamond" w:hAnsi="Garamond"/>
          <w:sz w:val="22"/>
          <w:szCs w:val="22"/>
          <w:lang w:val="en-US"/>
        </w:rPr>
        <w:t xml:space="preserve">Needler W. A Rock-Drawing on Gebel Sheikh Suliman (near Wadi Halfa) Showing a Scorpion and Human Figures. </w:t>
      </w:r>
      <w:r>
        <w:rPr>
          <w:rFonts w:cs="Garamond" w:ascii="Garamond" w:hAnsi="Garamond"/>
          <w:i/>
          <w:sz w:val="22"/>
          <w:szCs w:val="22"/>
          <w:lang w:val="en-US"/>
        </w:rPr>
        <w:t>Journal of the American Research Center in Egypt</w:t>
      </w:r>
      <w:r>
        <w:rPr>
          <w:rFonts w:cs="Garamond" w:ascii="Garamond" w:hAnsi="Garamond"/>
          <w:sz w:val="22"/>
          <w:szCs w:val="22"/>
          <w:lang w:val="en-US"/>
        </w:rPr>
        <w:t>. 1967. 6. Pp. 87–91.</w:t>
      </w:r>
    </w:p>
    <w:p>
      <w:pPr>
        <w:pStyle w:val="Normal"/>
        <w:ind w:start="720" w:end="-31" w:hanging="720"/>
        <w:jc w:val="both"/>
        <w:rPr/>
      </w:pPr>
      <w:r>
        <w:rPr>
          <w:rFonts w:cs="Garamond" w:ascii="Garamond" w:hAnsi="Garamond"/>
          <w:iCs/>
          <w:sz w:val="22"/>
          <w:szCs w:val="22"/>
          <w:lang w:val="en-US"/>
        </w:rPr>
        <w:t xml:space="preserve">Nordström H.-Å. </w:t>
      </w:r>
      <w:r>
        <w:rPr>
          <w:rFonts w:cs="Garamond" w:ascii="Garamond" w:hAnsi="Garamond"/>
          <w:sz w:val="22"/>
          <w:szCs w:val="22"/>
          <w:lang w:val="en-US"/>
        </w:rPr>
        <w:t xml:space="preserve">The Nubian A-Group: Perceiving a Social Landscape. Kendall T. (ed.). </w:t>
      </w:r>
      <w:r>
        <w:rPr>
          <w:rFonts w:cs="Garamond" w:ascii="Garamond" w:hAnsi="Garamond"/>
          <w:i/>
          <w:sz w:val="22"/>
          <w:szCs w:val="22"/>
          <w:lang w:val="en-US"/>
        </w:rPr>
        <w:t>Nubian Studies 1998</w:t>
      </w:r>
      <w:r>
        <w:rPr>
          <w:rFonts w:cs="Garamond" w:ascii="Garamond" w:hAnsi="Garamond"/>
          <w:sz w:val="22"/>
          <w:szCs w:val="22"/>
          <w:lang w:val="en-US"/>
        </w:rPr>
        <w:t>. Boston, 2004. Pp. 134–144.</w:t>
      </w:r>
    </w:p>
    <w:p>
      <w:pPr>
        <w:pStyle w:val="Normal"/>
        <w:ind w:start="720" w:end="-31" w:hanging="720"/>
        <w:jc w:val="both"/>
        <w:rPr/>
      </w:pPr>
      <w:r>
        <w:rPr>
          <w:rFonts w:cs="Garamond" w:ascii="Garamond" w:hAnsi="Garamond"/>
          <w:sz w:val="22"/>
          <w:szCs w:val="22"/>
          <w:lang w:val="en-US"/>
        </w:rPr>
        <w:t xml:space="preserve">O’Mara P. F. </w:t>
      </w:r>
      <w:r>
        <w:rPr>
          <w:rFonts w:cs="Garamond" w:ascii="Garamond" w:hAnsi="Garamond"/>
          <w:i/>
          <w:sz w:val="22"/>
          <w:szCs w:val="22"/>
          <w:lang w:val="en-US"/>
        </w:rPr>
        <w:t>The Palermo Stone and the Archaic Kings of Egypt</w:t>
      </w:r>
      <w:r>
        <w:rPr>
          <w:rFonts w:cs="Garamond" w:ascii="Garamond" w:hAnsi="Garamond"/>
          <w:sz w:val="22"/>
          <w:szCs w:val="22"/>
          <w:lang w:val="en-US"/>
        </w:rPr>
        <w:t>. La Canada, 1979.</w:t>
      </w:r>
    </w:p>
    <w:p>
      <w:pPr>
        <w:pStyle w:val="Normal"/>
        <w:ind w:start="720" w:end="-31" w:hanging="720"/>
        <w:jc w:val="both"/>
        <w:rPr/>
      </w:pPr>
      <w:r>
        <w:rPr>
          <w:rFonts w:cs="Garamond" w:ascii="Garamond" w:hAnsi="Garamond"/>
          <w:sz w:val="22"/>
          <w:szCs w:val="22"/>
          <w:lang w:val="en-US"/>
        </w:rPr>
        <w:t xml:space="preserve">Reisner G. A. </w:t>
      </w:r>
      <w:r>
        <w:rPr>
          <w:rFonts w:cs="Garamond" w:ascii="Garamond" w:hAnsi="Garamond"/>
          <w:i/>
          <w:sz w:val="22"/>
          <w:szCs w:val="22"/>
          <w:lang w:val="en-US"/>
        </w:rPr>
        <w:t xml:space="preserve">The Archaeological Survey of Nubia. Report for 1907–1908. </w:t>
      </w:r>
      <w:r>
        <w:rPr>
          <w:rFonts w:cs="Garamond" w:ascii="Garamond" w:hAnsi="Garamond"/>
          <w:sz w:val="22"/>
          <w:szCs w:val="22"/>
          <w:lang w:val="en-US"/>
        </w:rPr>
        <w:t>Vol. 1.</w:t>
      </w:r>
      <w:r>
        <w:rPr>
          <w:rFonts w:cs="Garamond" w:ascii="Garamond" w:hAnsi="Garamond"/>
          <w:i/>
          <w:sz w:val="22"/>
          <w:szCs w:val="22"/>
          <w:lang w:val="en-US"/>
        </w:rPr>
        <w:t xml:space="preserve"> Archaeological Report.</w:t>
      </w:r>
      <w:r>
        <w:rPr>
          <w:rFonts w:cs="Garamond" w:ascii="Garamond" w:hAnsi="Garamond"/>
          <w:sz w:val="22"/>
          <w:szCs w:val="22"/>
          <w:lang w:val="en-US"/>
        </w:rPr>
        <w:t xml:space="preserve"> </w:t>
      </w:r>
      <w:r>
        <w:rPr>
          <w:rFonts w:cs="Garamond" w:ascii="Garamond" w:hAnsi="Garamond"/>
          <w:sz w:val="22"/>
          <w:szCs w:val="22"/>
          <w:lang w:val="de-DE"/>
        </w:rPr>
        <w:t>Cairo, 1910.</w:t>
      </w:r>
    </w:p>
    <w:p>
      <w:pPr>
        <w:pStyle w:val="Normal"/>
        <w:ind w:start="720" w:end="-31" w:hanging="720"/>
        <w:jc w:val="both"/>
        <w:rPr/>
      </w:pPr>
      <w:r>
        <w:rPr>
          <w:rFonts w:cs="Garamond" w:ascii="Garamond" w:hAnsi="Garamond"/>
          <w:sz w:val="22"/>
          <w:szCs w:val="22"/>
          <w:lang w:val="de-DE"/>
        </w:rPr>
        <w:t xml:space="preserve">Rögl F. von, Steininger F. F. Vom Zerfall der Tethys zu Mediterran und Paratethys. Die neogene Paläogeographie und Palinspastik der zirkum-mediterranen Raumes. </w:t>
      </w:r>
      <w:r>
        <w:rPr>
          <w:rFonts w:cs="Garamond" w:ascii="Garamond" w:hAnsi="Garamond"/>
          <w:i/>
          <w:sz w:val="22"/>
          <w:szCs w:val="22"/>
          <w:lang w:val="de-DE"/>
        </w:rPr>
        <w:t>Annalen des Naturhistorischen Museums in Wien</w:t>
      </w:r>
      <w:r>
        <w:rPr>
          <w:rFonts w:cs="Garamond" w:ascii="Garamond" w:hAnsi="Garamond"/>
          <w:sz w:val="22"/>
          <w:szCs w:val="22"/>
          <w:lang w:val="de-DE"/>
        </w:rPr>
        <w:t xml:space="preserve">. 1983. </w:t>
      </w:r>
      <w:r>
        <w:rPr>
          <w:rFonts w:cs="Garamond" w:ascii="Garamond" w:hAnsi="Garamond"/>
          <w:sz w:val="22"/>
          <w:szCs w:val="22"/>
          <w:lang w:val="en-US"/>
        </w:rPr>
        <w:t>85/A. S. 135–163.</w:t>
      </w:r>
    </w:p>
    <w:p>
      <w:pPr>
        <w:pStyle w:val="Normal"/>
        <w:ind w:start="720" w:end="-31" w:hanging="720"/>
        <w:jc w:val="both"/>
        <w:rPr/>
      </w:pPr>
      <w:r>
        <w:rPr>
          <w:rFonts w:cs="Garamond" w:ascii="Garamond" w:hAnsi="Garamond"/>
          <w:sz w:val="22"/>
          <w:szCs w:val="22"/>
          <w:lang w:val="en-US"/>
        </w:rPr>
        <w:t>Rouchy J. M., Caruso A. The Messinian Salinity Crisis in the Mediterranean Basin: A Reassessment of the Data and An Integrated Scenario.</w:t>
      </w:r>
      <w:r>
        <w:rPr>
          <w:rFonts w:cs="Garamond" w:ascii="Garamond" w:hAnsi="Garamond"/>
          <w:i/>
          <w:sz w:val="22"/>
          <w:szCs w:val="22"/>
          <w:lang w:val="en-US"/>
        </w:rPr>
        <w:t xml:space="preserve"> Sedimentary Geology</w:t>
      </w:r>
      <w:r>
        <w:rPr>
          <w:rFonts w:cs="Garamond" w:ascii="Garamond" w:hAnsi="Garamond"/>
          <w:sz w:val="22"/>
          <w:szCs w:val="22"/>
          <w:lang w:val="en-US"/>
        </w:rPr>
        <w:t xml:space="preserve">. </w:t>
      </w:r>
      <w:r>
        <w:rPr>
          <w:rFonts w:cs="Garamond" w:ascii="Garamond" w:hAnsi="Garamond"/>
          <w:sz w:val="22"/>
          <w:szCs w:val="22"/>
          <w:lang w:val="it-IT"/>
        </w:rPr>
        <w:t>2006. 188–189. Pp. 35–67.</w:t>
      </w:r>
    </w:p>
    <w:p>
      <w:pPr>
        <w:pStyle w:val="Normal"/>
        <w:ind w:start="720" w:end="-31" w:hanging="720"/>
        <w:jc w:val="both"/>
        <w:rPr>
          <w:rFonts w:ascii="Garamond" w:hAnsi="Garamond" w:cs="Garamond"/>
          <w:iCs/>
          <w:sz w:val="22"/>
          <w:szCs w:val="22"/>
          <w:lang w:val="en-US"/>
        </w:rPr>
      </w:pPr>
      <w:r>
        <w:rPr>
          <w:rFonts w:cs="Garamond" w:ascii="Garamond" w:hAnsi="Garamond"/>
          <w:sz w:val="22"/>
          <w:szCs w:val="22"/>
          <w:lang w:val="it-IT"/>
        </w:rPr>
        <w:t xml:space="preserve">Roveri M., Bertini A., Cosentino D., Stefano A. di, Gennari R., Gliozzi E., Grossi F., Iaccarino S. M., Lugli S., Manzi V., Taviani M. A High-Resolution Stratigraphic Framework for the Latest Messinian Events in the Mediterranean Area. </w:t>
      </w:r>
      <w:r>
        <w:rPr>
          <w:rFonts w:cs="Garamond" w:ascii="Garamond" w:hAnsi="Garamond"/>
          <w:i/>
          <w:sz w:val="22"/>
          <w:szCs w:val="22"/>
          <w:lang w:val="it-IT"/>
        </w:rPr>
        <w:t>Stratigraphy</w:t>
      </w:r>
      <w:r>
        <w:rPr>
          <w:rFonts w:cs="Garamond" w:ascii="Garamond" w:hAnsi="Garamond"/>
          <w:sz w:val="22"/>
          <w:szCs w:val="22"/>
          <w:lang w:val="it-IT"/>
        </w:rPr>
        <w:t xml:space="preserve">. </w:t>
      </w:r>
      <w:r>
        <w:rPr>
          <w:rFonts w:cs="Garamond" w:ascii="Garamond" w:hAnsi="Garamond"/>
          <w:sz w:val="22"/>
          <w:szCs w:val="22"/>
          <w:lang w:val="en-US"/>
        </w:rPr>
        <w:t>2008. 5. Pp. 323–342.</w:t>
      </w:r>
    </w:p>
    <w:p>
      <w:pPr>
        <w:pStyle w:val="Normal"/>
        <w:ind w:start="720" w:end="-31" w:hanging="720"/>
        <w:jc w:val="both"/>
        <w:rPr/>
      </w:pPr>
      <w:r>
        <w:rPr>
          <w:rFonts w:cs="Garamond" w:ascii="Garamond" w:hAnsi="Garamond"/>
          <w:sz w:val="22"/>
          <w:szCs w:val="22"/>
          <w:lang w:val="en-US"/>
        </w:rPr>
        <w:t xml:space="preserve">Said R. The Geological Evolution of the River Nile in Egypt. Rzóska J. (ed.). </w:t>
      </w:r>
      <w:r>
        <w:rPr>
          <w:rFonts w:cs="Garamond" w:ascii="Garamond" w:hAnsi="Garamond"/>
          <w:i/>
          <w:sz w:val="22"/>
          <w:szCs w:val="22"/>
          <w:lang w:val="en-US"/>
        </w:rPr>
        <w:t>The Nile, Biology of an Ancient River</w:t>
      </w:r>
      <w:r>
        <w:rPr>
          <w:rFonts w:cs="Garamond" w:ascii="Garamond" w:hAnsi="Garamond"/>
          <w:sz w:val="22"/>
          <w:szCs w:val="22"/>
          <w:lang w:val="en-US"/>
        </w:rPr>
        <w:t>. The Hague, 1976. Pp. 2–4.</w:t>
      </w:r>
    </w:p>
    <w:p>
      <w:pPr>
        <w:pStyle w:val="Normal"/>
        <w:ind w:start="720" w:end="-31" w:hanging="720"/>
        <w:jc w:val="both"/>
        <w:rPr/>
      </w:pPr>
      <w:r>
        <w:rPr>
          <w:rFonts w:cs="Garamond" w:ascii="Garamond" w:hAnsi="Garamond"/>
          <w:sz w:val="22"/>
          <w:szCs w:val="22"/>
          <w:lang w:val="en-US"/>
        </w:rPr>
        <w:t xml:space="preserve">Said R. </w:t>
      </w:r>
      <w:r>
        <w:rPr>
          <w:rFonts w:cs="Garamond" w:ascii="Garamond" w:hAnsi="Garamond"/>
          <w:i/>
          <w:sz w:val="22"/>
          <w:szCs w:val="22"/>
          <w:lang w:val="en-US"/>
        </w:rPr>
        <w:t>The Geological Evolution of the River Nile</w:t>
      </w:r>
      <w:r>
        <w:rPr>
          <w:rFonts w:cs="Garamond" w:ascii="Garamond" w:hAnsi="Garamond"/>
          <w:sz w:val="22"/>
          <w:szCs w:val="22"/>
          <w:lang w:val="en-US"/>
        </w:rPr>
        <w:t>. New York, 1981.</w:t>
      </w:r>
    </w:p>
    <w:p>
      <w:pPr>
        <w:pStyle w:val="Normal"/>
        <w:ind w:start="720" w:end="-31" w:hanging="720"/>
        <w:jc w:val="both"/>
        <w:rPr/>
      </w:pPr>
      <w:r>
        <w:rPr>
          <w:rFonts w:cs="Garamond" w:ascii="Garamond" w:hAnsi="Garamond"/>
          <w:sz w:val="22"/>
          <w:szCs w:val="22"/>
          <w:lang w:val="en-US"/>
        </w:rPr>
        <w:t xml:space="preserve">Said R. </w:t>
      </w:r>
      <w:r>
        <w:rPr>
          <w:rFonts w:cs="Garamond" w:ascii="Garamond" w:hAnsi="Garamond"/>
          <w:i/>
          <w:sz w:val="22"/>
          <w:szCs w:val="22"/>
          <w:lang w:val="en-US"/>
        </w:rPr>
        <w:t>The Geology of Egypt</w:t>
      </w:r>
      <w:r>
        <w:rPr>
          <w:rFonts w:cs="Garamond" w:ascii="Garamond" w:hAnsi="Garamond"/>
          <w:sz w:val="22"/>
          <w:szCs w:val="22"/>
          <w:lang w:val="en-US"/>
        </w:rPr>
        <w:t>. New York, 1962.</w:t>
      </w:r>
    </w:p>
    <w:p>
      <w:pPr>
        <w:pStyle w:val="Normal"/>
        <w:ind w:start="720" w:end="-31" w:hanging="720"/>
        <w:jc w:val="both"/>
        <w:rPr/>
      </w:pPr>
      <w:r>
        <w:rPr>
          <w:rFonts w:cs="Garamond" w:ascii="Garamond" w:hAnsi="Garamond"/>
          <w:sz w:val="22"/>
          <w:szCs w:val="22"/>
          <w:lang w:val="en-US"/>
        </w:rPr>
        <w:t xml:space="preserve">Said R. </w:t>
      </w:r>
      <w:r>
        <w:rPr>
          <w:rFonts w:cs="Garamond" w:ascii="Garamond" w:hAnsi="Garamond"/>
          <w:i/>
          <w:sz w:val="22"/>
          <w:szCs w:val="22"/>
          <w:lang w:val="en-US"/>
        </w:rPr>
        <w:t>The River Nile: Geology, Hydrology, and Utilization</w:t>
      </w:r>
      <w:r>
        <w:rPr>
          <w:rFonts w:cs="Garamond" w:ascii="Garamond" w:hAnsi="Garamond"/>
          <w:sz w:val="22"/>
          <w:szCs w:val="22"/>
          <w:lang w:val="en-US"/>
        </w:rPr>
        <w:t>. Oxford, 1993.</w:t>
      </w:r>
    </w:p>
    <w:p>
      <w:pPr>
        <w:pStyle w:val="Normal"/>
        <w:ind w:start="720" w:end="-31" w:hanging="720"/>
        <w:jc w:val="both"/>
        <w:rPr/>
      </w:pPr>
      <w:r>
        <w:rPr>
          <w:rFonts w:cs="Garamond" w:ascii="Garamond" w:hAnsi="Garamond"/>
          <w:sz w:val="22"/>
          <w:szCs w:val="22"/>
          <w:lang w:val="en-US"/>
        </w:rPr>
        <w:t xml:space="preserve">Sandford K. S., Arkell W. J. </w:t>
      </w:r>
      <w:r>
        <w:rPr>
          <w:rFonts w:cs="Garamond" w:ascii="Garamond" w:hAnsi="Garamond"/>
          <w:i/>
          <w:iCs/>
          <w:sz w:val="22"/>
          <w:szCs w:val="22"/>
          <w:lang w:val="en-US"/>
        </w:rPr>
        <w:t>Prehistoric Survey of Egypt and Western Asia, Paleolithic Man and the Nile Fayum Divide</w:t>
      </w:r>
      <w:r>
        <w:rPr>
          <w:rFonts w:cs="Garamond" w:ascii="Garamond" w:hAnsi="Garamond"/>
          <w:i/>
          <w:sz w:val="22"/>
          <w:szCs w:val="22"/>
          <w:lang w:val="en-US"/>
        </w:rPr>
        <w:t>. A Study of the Region during Pliocene and Pleistocene Times</w:t>
      </w:r>
      <w:r>
        <w:rPr>
          <w:rFonts w:cs="Garamond" w:ascii="Garamond" w:hAnsi="Garamond"/>
          <w:sz w:val="22"/>
          <w:szCs w:val="22"/>
          <w:lang w:val="en-US"/>
        </w:rPr>
        <w:t>. Chicago, 1929.</w:t>
      </w:r>
    </w:p>
    <w:p>
      <w:pPr>
        <w:pStyle w:val="Normal"/>
        <w:ind w:start="720" w:end="-31" w:hanging="720"/>
        <w:jc w:val="both"/>
        <w:rPr/>
      </w:pPr>
      <w:r>
        <w:rPr>
          <w:rFonts w:cs="Garamond" w:ascii="Garamond" w:hAnsi="Garamond"/>
          <w:sz w:val="22"/>
          <w:szCs w:val="22"/>
          <w:lang w:val="en-US"/>
        </w:rPr>
        <w:t>Sayce A. H. Karian, Egyptian and Nubian-Greek Inscriptions from the Sudan.</w:t>
      </w:r>
      <w:r>
        <w:rPr>
          <w:rFonts w:cs="Garamond" w:ascii="Garamond" w:hAnsi="Garamond"/>
          <w:i/>
          <w:sz w:val="22"/>
          <w:szCs w:val="22"/>
          <w:lang w:val="en-US"/>
        </w:rPr>
        <w:t xml:space="preserve"> </w:t>
      </w:r>
      <w:r>
        <w:rPr>
          <w:rFonts w:cs="Garamond" w:ascii="Garamond" w:hAnsi="Garamond"/>
          <w:i/>
          <w:iCs/>
          <w:sz w:val="22"/>
          <w:szCs w:val="22"/>
          <w:lang w:val="en-US"/>
        </w:rPr>
        <w:t>Proceedings of the Society of Biblical Archaeology</w:t>
      </w:r>
      <w:r>
        <w:rPr>
          <w:rFonts w:cs="Garamond" w:ascii="Garamond" w:hAnsi="Garamond"/>
          <w:sz w:val="22"/>
          <w:szCs w:val="22"/>
          <w:lang w:val="en-US"/>
        </w:rPr>
        <w:t xml:space="preserve">. </w:t>
      </w:r>
      <w:r>
        <w:rPr>
          <w:rFonts w:cs="Garamond" w:ascii="Garamond" w:hAnsi="Garamond"/>
          <w:sz w:val="22"/>
          <w:szCs w:val="22"/>
          <w:lang w:val="de-DE"/>
        </w:rPr>
        <w:t>1910. 32. Pp. 261–268.</w:t>
      </w:r>
    </w:p>
    <w:p>
      <w:pPr>
        <w:pStyle w:val="Normal"/>
        <w:ind w:start="720" w:end="-31" w:hanging="720"/>
        <w:jc w:val="both"/>
        <w:rPr/>
      </w:pPr>
      <w:r>
        <w:rPr>
          <w:rFonts w:cs="Garamond" w:ascii="Garamond" w:hAnsi="Garamond"/>
          <w:sz w:val="22"/>
          <w:szCs w:val="22"/>
          <w:lang w:val="de-DE"/>
        </w:rPr>
        <w:t xml:space="preserve">Schäfer H. </w:t>
      </w:r>
      <w:r>
        <w:rPr>
          <w:rFonts w:cs="Garamond" w:ascii="Garamond" w:hAnsi="Garamond"/>
          <w:i/>
          <w:sz w:val="22"/>
          <w:szCs w:val="22"/>
          <w:lang w:val="de-DE"/>
        </w:rPr>
        <w:t>Ein Bruchstück altägyptischer Annalen</w:t>
      </w:r>
      <w:r>
        <w:rPr>
          <w:rFonts w:cs="Garamond" w:ascii="Garamond" w:hAnsi="Garamond"/>
          <w:sz w:val="22"/>
          <w:szCs w:val="22"/>
          <w:lang w:val="de-DE"/>
        </w:rPr>
        <w:t>. Berlin, 1902.</w:t>
      </w:r>
    </w:p>
    <w:p>
      <w:pPr>
        <w:pStyle w:val="Normal"/>
        <w:ind w:start="720" w:end="-31" w:hanging="720"/>
        <w:jc w:val="both"/>
        <w:rPr/>
      </w:pPr>
      <w:r>
        <w:rPr>
          <w:rFonts w:cs="Garamond" w:ascii="Garamond" w:hAnsi="Garamond"/>
          <w:sz w:val="22"/>
          <w:szCs w:val="22"/>
          <w:lang w:val="en-US"/>
        </w:rPr>
        <w:t>Seidlmayer S. J.</w:t>
      </w:r>
      <w:r>
        <w:rPr>
          <w:rFonts w:cs="Garamond" w:ascii="Garamond" w:hAnsi="Garamond"/>
          <w:i/>
          <w:sz w:val="22"/>
          <w:szCs w:val="22"/>
          <w:lang w:val="en-US"/>
        </w:rPr>
        <w:t xml:space="preserve"> </w:t>
      </w:r>
      <w:r>
        <w:rPr>
          <w:rFonts w:cs="Garamond" w:ascii="Garamond" w:hAnsi="Garamond"/>
          <w:sz w:val="22"/>
          <w:szCs w:val="22"/>
          <w:lang w:val="en-US"/>
        </w:rPr>
        <w:t xml:space="preserve">Town and State in the Early Old Kingdom. A View from Elephantine. Spencer A. J. (ed.). </w:t>
      </w:r>
      <w:r>
        <w:rPr>
          <w:rFonts w:cs="Garamond" w:ascii="Garamond" w:hAnsi="Garamond"/>
          <w:i/>
          <w:sz w:val="22"/>
          <w:szCs w:val="22"/>
          <w:lang w:val="en-US"/>
        </w:rPr>
        <w:t>Aspects of Early Egypt.</w:t>
      </w:r>
      <w:r>
        <w:rPr>
          <w:rFonts w:cs="Garamond" w:ascii="Garamond" w:hAnsi="Garamond"/>
          <w:sz w:val="22"/>
          <w:szCs w:val="22"/>
          <w:lang w:val="en-US"/>
        </w:rPr>
        <w:t xml:space="preserve"> London, 1996. Pp. 108–127.</w:t>
      </w:r>
    </w:p>
    <w:p>
      <w:pPr>
        <w:pStyle w:val="Normal"/>
        <w:ind w:start="720" w:end="-31" w:hanging="720"/>
        <w:jc w:val="both"/>
        <w:rPr>
          <w:rFonts w:ascii="Garamond" w:hAnsi="Garamond" w:cs="Garamond"/>
          <w:sz w:val="22"/>
          <w:szCs w:val="22"/>
          <w:lang w:val="en-US"/>
        </w:rPr>
      </w:pPr>
      <w:r>
        <w:rPr>
          <w:rFonts w:cs="Garamond" w:ascii="Garamond" w:hAnsi="Garamond"/>
          <w:iCs/>
          <w:sz w:val="22"/>
          <w:szCs w:val="22"/>
          <w:lang w:val="en-US"/>
        </w:rPr>
        <w:t xml:space="preserve">Selley R. C. (ed.). </w:t>
      </w:r>
      <w:r>
        <w:rPr>
          <w:rFonts w:cs="Garamond" w:ascii="Garamond" w:hAnsi="Garamond"/>
          <w:i/>
          <w:iCs/>
          <w:sz w:val="22"/>
          <w:szCs w:val="22"/>
          <w:lang w:val="en-US"/>
        </w:rPr>
        <w:t>African Basins</w:t>
      </w:r>
      <w:r>
        <w:rPr>
          <w:rFonts w:cs="Garamond" w:ascii="Garamond" w:hAnsi="Garamond"/>
          <w:iCs/>
          <w:sz w:val="22"/>
          <w:szCs w:val="22"/>
          <w:lang w:val="en-US"/>
        </w:rPr>
        <w:t>. Amsterdam, 1997.</w:t>
      </w:r>
    </w:p>
    <w:p>
      <w:pPr>
        <w:pStyle w:val="Normal"/>
        <w:ind w:start="720" w:end="-31" w:hanging="720"/>
        <w:jc w:val="both"/>
        <w:rPr/>
      </w:pPr>
      <w:r>
        <w:rPr>
          <w:rFonts w:cs="Garamond" w:ascii="Garamond" w:hAnsi="Garamond"/>
          <w:sz w:val="22"/>
          <w:szCs w:val="22"/>
          <w:lang w:val="en-US"/>
        </w:rPr>
        <w:t>Shahin M.</w:t>
      </w:r>
      <w:r>
        <w:rPr>
          <w:rFonts w:cs="Garamond" w:ascii="Garamond" w:hAnsi="Garamond"/>
          <w:i/>
          <w:sz w:val="22"/>
          <w:szCs w:val="22"/>
          <w:lang w:val="en-US"/>
        </w:rPr>
        <w:t xml:space="preserve"> Hydrology of the Nile Basin</w:t>
      </w:r>
      <w:r>
        <w:rPr>
          <w:rFonts w:cs="Garamond" w:ascii="Garamond" w:hAnsi="Garamond"/>
          <w:sz w:val="22"/>
          <w:szCs w:val="22"/>
          <w:lang w:val="en-US"/>
        </w:rPr>
        <w:t>. Amsterdam, 1985.</w:t>
      </w:r>
    </w:p>
    <w:p>
      <w:pPr>
        <w:pStyle w:val="Normal"/>
        <w:ind w:start="720" w:end="-31" w:hanging="720"/>
        <w:jc w:val="both"/>
        <w:rPr/>
      </w:pPr>
      <w:r>
        <w:rPr>
          <w:rFonts w:cs="Garamond" w:ascii="Garamond" w:hAnsi="Garamond"/>
          <w:sz w:val="22"/>
          <w:szCs w:val="22"/>
          <w:lang w:val="en-US"/>
        </w:rPr>
        <w:t xml:space="preserve">Smith G. E. </w:t>
      </w:r>
      <w:r>
        <w:rPr>
          <w:rFonts w:cs="Garamond" w:ascii="Garamond" w:hAnsi="Garamond"/>
          <w:i/>
          <w:sz w:val="22"/>
          <w:szCs w:val="22"/>
          <w:lang w:val="en-US"/>
        </w:rPr>
        <w:t>The Ancient Egyptians and the Origin of Civilization</w:t>
      </w:r>
      <w:r>
        <w:rPr>
          <w:rFonts w:cs="Garamond" w:ascii="Garamond" w:hAnsi="Garamond"/>
          <w:sz w:val="22"/>
          <w:szCs w:val="22"/>
          <w:lang w:val="en-US"/>
        </w:rPr>
        <w:t>. London, New York, 1923.</w:t>
      </w:r>
    </w:p>
    <w:p>
      <w:pPr>
        <w:pStyle w:val="Normal"/>
        <w:ind w:start="720" w:end="-31" w:hanging="720"/>
        <w:jc w:val="both"/>
        <w:rPr/>
      </w:pPr>
      <w:r>
        <w:rPr>
          <w:rFonts w:cs="Garamond" w:ascii="Garamond" w:hAnsi="Garamond"/>
          <w:sz w:val="22"/>
          <w:szCs w:val="22"/>
          <w:lang w:val="en-US"/>
        </w:rPr>
        <w:t>Smith G. E. The Influence of Racial Admixture in Egypt.</w:t>
      </w:r>
      <w:r>
        <w:rPr>
          <w:rFonts w:cs="Garamond" w:ascii="Garamond" w:hAnsi="Garamond"/>
          <w:i/>
          <w:sz w:val="22"/>
          <w:szCs w:val="22"/>
          <w:lang w:val="en-US"/>
        </w:rPr>
        <w:t xml:space="preserve"> Eugenics Review</w:t>
      </w:r>
      <w:r>
        <w:rPr>
          <w:rFonts w:cs="Garamond" w:ascii="Garamond" w:hAnsi="Garamond"/>
          <w:sz w:val="22"/>
          <w:szCs w:val="22"/>
          <w:lang w:val="en-US"/>
        </w:rPr>
        <w:t xml:space="preserve">. 1916. </w:t>
      </w:r>
      <w:r>
        <w:rPr>
          <w:rFonts w:cs="Garamond" w:ascii="Garamond" w:hAnsi="Garamond"/>
          <w:sz w:val="22"/>
          <w:szCs w:val="22"/>
          <w:lang w:val="fr-FR"/>
        </w:rPr>
        <w:t>7. Pp. 163–183.</w:t>
      </w:r>
    </w:p>
    <w:p>
      <w:pPr>
        <w:pStyle w:val="Normal"/>
        <w:ind w:start="720" w:end="-31" w:hanging="720"/>
        <w:jc w:val="both"/>
        <w:rPr/>
      </w:pPr>
      <w:r>
        <w:rPr>
          <w:rFonts w:cs="Garamond" w:ascii="Garamond" w:hAnsi="Garamond"/>
          <w:sz w:val="22"/>
          <w:szCs w:val="22"/>
          <w:lang w:val="fr-FR"/>
        </w:rPr>
        <w:t xml:space="preserve">Somaglino C., Tallet P. Une campagne en Nubie sous la Ire dynastie: la scène nagadienne du Gebel Sheikh Suleiman comme prototype et modèle. </w:t>
      </w:r>
      <w:r>
        <w:rPr>
          <w:rFonts w:cs="Garamond" w:ascii="Garamond" w:hAnsi="Garamond"/>
          <w:i/>
          <w:sz w:val="22"/>
          <w:szCs w:val="22"/>
          <w:lang w:val="fr-FR"/>
        </w:rPr>
        <w:t>Nehet. Revue numérique d’égyptologie (Paris–Sorbonne — Université Libre de Bruxelles)</w:t>
      </w:r>
      <w:r>
        <w:rPr>
          <w:rFonts w:cs="Garamond" w:ascii="Garamond" w:hAnsi="Garamond"/>
          <w:sz w:val="22"/>
          <w:szCs w:val="22"/>
          <w:lang w:val="fr-FR"/>
        </w:rPr>
        <w:t xml:space="preserve">. 2014. </w:t>
      </w:r>
      <w:r>
        <w:rPr>
          <w:rFonts w:cs="Garamond" w:ascii="Garamond" w:hAnsi="Garamond"/>
          <w:sz w:val="22"/>
          <w:szCs w:val="22"/>
          <w:lang w:val="en-US"/>
        </w:rPr>
        <w:t>1. Pp. 1–46.</w:t>
      </w:r>
    </w:p>
    <w:p>
      <w:pPr>
        <w:pStyle w:val="Normal"/>
        <w:ind w:start="720" w:end="-31" w:hanging="720"/>
        <w:jc w:val="both"/>
        <w:rPr/>
      </w:pPr>
      <w:r>
        <w:rPr>
          <w:rFonts w:cs="Garamond" w:ascii="Garamond" w:hAnsi="Garamond"/>
          <w:sz w:val="22"/>
          <w:szCs w:val="22"/>
          <w:lang w:val="en-US"/>
        </w:rPr>
        <w:t xml:space="preserve">Somaglino C., Tallet P. Gebel Sheikh Suleiman: a First Dynasty Relief after All... </w:t>
      </w:r>
      <w:r>
        <w:rPr>
          <w:rFonts w:cs="Garamond" w:ascii="Garamond" w:hAnsi="Garamond"/>
          <w:i/>
          <w:sz w:val="22"/>
          <w:szCs w:val="22"/>
          <w:lang w:val="en-US"/>
        </w:rPr>
        <w:t>Archéo-Nil</w:t>
      </w:r>
      <w:r>
        <w:rPr>
          <w:rFonts w:cs="Garamond" w:ascii="Garamond" w:hAnsi="Garamond"/>
          <w:sz w:val="22"/>
          <w:szCs w:val="22"/>
          <w:lang w:val="en-US"/>
        </w:rPr>
        <w:t>. 2015. 25. Pp. 122–134.</w:t>
      </w:r>
    </w:p>
    <w:p>
      <w:pPr>
        <w:pStyle w:val="Normal"/>
        <w:ind w:start="720" w:end="-31" w:hanging="720"/>
        <w:jc w:val="both"/>
        <w:rPr/>
      </w:pPr>
      <w:r>
        <w:rPr>
          <w:rFonts w:cs="Garamond" w:ascii="Garamond" w:hAnsi="Garamond"/>
          <w:sz w:val="22"/>
          <w:szCs w:val="22"/>
          <w:lang w:val="en-US"/>
        </w:rPr>
        <w:t xml:space="preserve">Storemyr P. A Prehistoric Geometric Rock Art Landscape by the First Nile Cataract. </w:t>
      </w:r>
      <w:r>
        <w:rPr>
          <w:rFonts w:cs="Garamond" w:ascii="Garamond" w:hAnsi="Garamond"/>
          <w:i/>
          <w:sz w:val="22"/>
          <w:szCs w:val="22"/>
          <w:lang w:val="en-US"/>
        </w:rPr>
        <w:t>Archéo-Nil</w:t>
      </w:r>
      <w:r>
        <w:rPr>
          <w:rFonts w:cs="Garamond" w:ascii="Garamond" w:hAnsi="Garamond"/>
          <w:sz w:val="22"/>
          <w:szCs w:val="22"/>
          <w:lang w:val="en-US"/>
        </w:rPr>
        <w:t>. 2009. 19. Pp. 121–150.</w:t>
      </w:r>
    </w:p>
    <w:p>
      <w:pPr>
        <w:pStyle w:val="Normal"/>
        <w:ind w:start="720" w:end="-31" w:hanging="720"/>
        <w:jc w:val="both"/>
        <w:rPr/>
      </w:pPr>
      <w:r>
        <w:rPr>
          <w:rFonts w:cs="Garamond" w:ascii="Garamond" w:hAnsi="Garamond"/>
          <w:sz w:val="22"/>
          <w:szCs w:val="22"/>
          <w:lang w:val="en-US"/>
        </w:rPr>
        <w:t xml:space="preserve">Storemyr P. Overview of Rock Art, Stone Alignments, Desert Routes and a Possible Hermitage at the West Bank of Aswan. Bloxam E., Heldal T., Storemyr P. (eds). </w:t>
      </w:r>
      <w:r>
        <w:rPr>
          <w:rFonts w:cs="Garamond" w:ascii="Garamond" w:hAnsi="Garamond"/>
          <w:i/>
          <w:sz w:val="22"/>
          <w:szCs w:val="22"/>
          <w:lang w:val="en-US"/>
        </w:rPr>
        <w:t>Characterisation of Complex Quarry Landscapes: An Example from the West Bank Quarries, Aswan</w:t>
      </w:r>
      <w:r>
        <w:rPr>
          <w:rFonts w:cs="Garamond" w:ascii="Garamond" w:hAnsi="Garamond"/>
          <w:sz w:val="22"/>
          <w:szCs w:val="22"/>
          <w:lang w:val="en-US"/>
        </w:rPr>
        <w:t>. Trondheim, 2007. Pp. 163–181.</w:t>
      </w:r>
    </w:p>
    <w:p>
      <w:pPr>
        <w:pStyle w:val="Normal"/>
        <w:ind w:start="720" w:end="-31" w:hanging="720"/>
        <w:jc w:val="both"/>
        <w:rPr/>
      </w:pPr>
      <w:r>
        <w:rPr>
          <w:rFonts w:cs="Garamond" w:ascii="Garamond" w:hAnsi="Garamond"/>
          <w:sz w:val="22"/>
          <w:szCs w:val="22"/>
          <w:lang w:val="en-US"/>
        </w:rPr>
        <w:t xml:space="preserve">Storemyr P., Bloxam E., Heldal T., Kelany A. Ancient Desert and Quarry Roads on the West Bank of the Nile in the First Cataract Region. Förster F., Riemer H. (eds.). </w:t>
      </w:r>
      <w:r>
        <w:rPr>
          <w:rFonts w:cs="Garamond" w:ascii="Garamond" w:hAnsi="Garamond"/>
          <w:i/>
          <w:sz w:val="22"/>
          <w:szCs w:val="22"/>
          <w:lang w:val="en-US"/>
        </w:rPr>
        <w:t>Desert Road Archaeology in Ancient Egypt and Beyond.</w:t>
      </w:r>
      <w:r>
        <w:rPr>
          <w:rFonts w:cs="Garamond" w:ascii="Garamond" w:hAnsi="Garamond"/>
          <w:sz w:val="22"/>
          <w:szCs w:val="22"/>
          <w:lang w:val="en-US"/>
        </w:rPr>
        <w:t xml:space="preserve"> Köln, 2013. Pp. 399–423.</w:t>
      </w:r>
    </w:p>
    <w:p>
      <w:pPr>
        <w:pStyle w:val="Normal"/>
        <w:ind w:start="720" w:end="-31" w:hanging="720"/>
        <w:jc w:val="both"/>
        <w:rPr/>
      </w:pPr>
      <w:r>
        <w:rPr>
          <w:rFonts w:cs="Garamond" w:ascii="Garamond" w:hAnsi="Garamond"/>
          <w:sz w:val="22"/>
          <w:szCs w:val="22"/>
          <w:lang w:val="en-US"/>
        </w:rPr>
        <w:t xml:space="preserve">Storemyr P., Kelany A., Negm M. A., Tohami A. More ‘Lascaux Along the Nile’? Possible Late Palaeolithic Rock Art in Wadi Abu Subeira, Upper Egypt. </w:t>
      </w:r>
      <w:r>
        <w:rPr>
          <w:rFonts w:cs="Garamond" w:ascii="Garamond" w:hAnsi="Garamond"/>
          <w:i/>
          <w:sz w:val="22"/>
          <w:szCs w:val="22"/>
          <w:lang w:val="en-US"/>
        </w:rPr>
        <w:t>Sahara</w:t>
      </w:r>
      <w:r>
        <w:rPr>
          <w:rFonts w:cs="Garamond" w:ascii="Garamond" w:hAnsi="Garamond"/>
          <w:sz w:val="22"/>
          <w:szCs w:val="22"/>
          <w:lang w:val="en-US"/>
        </w:rPr>
        <w:t>. 2008. 19. Pp. 155–158.</w:t>
      </w:r>
    </w:p>
    <w:p>
      <w:pPr>
        <w:pStyle w:val="Normal"/>
        <w:ind w:start="720" w:end="-31" w:hanging="720"/>
        <w:jc w:val="both"/>
        <w:rPr/>
      </w:pPr>
      <w:r>
        <w:rPr>
          <w:rFonts w:cs="Garamond" w:ascii="Garamond" w:hAnsi="Garamond"/>
          <w:sz w:val="22"/>
          <w:szCs w:val="22"/>
          <w:lang w:val="en-US"/>
        </w:rPr>
        <w:t xml:space="preserve">Török L. </w:t>
      </w:r>
      <w:r>
        <w:rPr>
          <w:rFonts w:cs="Garamond" w:ascii="Garamond" w:hAnsi="Garamond"/>
          <w:i/>
          <w:sz w:val="22"/>
          <w:szCs w:val="22"/>
          <w:lang w:val="en-US"/>
        </w:rPr>
        <w:t>Between Two Worlds. The Frontier Region between Ancient Nubia and Egypt 3700 BC — AD 500</w:t>
      </w:r>
      <w:r>
        <w:rPr>
          <w:rFonts w:cs="Garamond" w:ascii="Garamond" w:hAnsi="Garamond"/>
          <w:sz w:val="22"/>
          <w:szCs w:val="22"/>
          <w:lang w:val="en-US"/>
        </w:rPr>
        <w:t xml:space="preserve">. </w:t>
      </w:r>
      <w:r>
        <w:rPr>
          <w:rFonts w:cs="Garamond" w:ascii="Garamond" w:hAnsi="Garamond"/>
          <w:sz w:val="22"/>
          <w:szCs w:val="22"/>
          <w:lang w:val="de-DE"/>
        </w:rPr>
        <w:t>Leiden, 2009.</w:t>
      </w:r>
    </w:p>
    <w:p>
      <w:pPr>
        <w:pStyle w:val="Normal"/>
        <w:ind w:start="720" w:end="-31" w:hanging="720"/>
        <w:jc w:val="both"/>
        <w:rPr/>
      </w:pPr>
      <w:r>
        <w:rPr>
          <w:rFonts w:cs="Garamond" w:ascii="Garamond" w:hAnsi="Garamond"/>
          <w:sz w:val="22"/>
          <w:szCs w:val="22"/>
          <w:lang w:val="de-DE"/>
        </w:rPr>
        <w:t xml:space="preserve">Urk. I = Sethe K. </w:t>
      </w:r>
      <w:r>
        <w:rPr>
          <w:rFonts w:cs="Garamond" w:ascii="Garamond" w:hAnsi="Garamond"/>
          <w:i/>
          <w:sz w:val="22"/>
          <w:szCs w:val="22"/>
          <w:lang w:val="de-DE"/>
        </w:rPr>
        <w:t>Urkunden des Alten Reichs</w:t>
      </w:r>
      <w:r>
        <w:rPr>
          <w:rFonts w:cs="Garamond" w:ascii="Garamond" w:hAnsi="Garamond"/>
          <w:sz w:val="22"/>
          <w:szCs w:val="22"/>
          <w:lang w:val="de-DE"/>
        </w:rPr>
        <w:t>. Bd. I. Leipzig, 1933.</w:t>
      </w:r>
    </w:p>
    <w:p>
      <w:pPr>
        <w:pStyle w:val="Normal"/>
        <w:ind w:start="720" w:end="-31" w:hanging="720"/>
        <w:jc w:val="both"/>
        <w:rPr/>
      </w:pPr>
      <w:r>
        <w:rPr>
          <w:rFonts w:cs="Garamond" w:ascii="Garamond" w:hAnsi="Garamond"/>
          <w:sz w:val="22"/>
          <w:szCs w:val="22"/>
          <w:lang w:val="fr-FR"/>
        </w:rPr>
        <w:t xml:space="preserve">Valbelle D. </w:t>
      </w:r>
      <w:r>
        <w:rPr>
          <w:rFonts w:cs="Garamond" w:ascii="Garamond" w:hAnsi="Garamond"/>
          <w:i/>
          <w:sz w:val="22"/>
          <w:szCs w:val="22"/>
          <w:lang w:val="fr-FR"/>
        </w:rPr>
        <w:t>Les Neuf Arcs: l’égyptien et les étrangers de la préhistoire à la conquête d’Alexandre</w:t>
      </w:r>
      <w:r>
        <w:rPr>
          <w:rFonts w:cs="Garamond" w:ascii="Garamond" w:hAnsi="Garamond"/>
          <w:sz w:val="22"/>
          <w:szCs w:val="22"/>
          <w:lang w:val="fr-FR"/>
        </w:rPr>
        <w:t xml:space="preserve">. </w:t>
      </w:r>
      <w:r>
        <w:rPr>
          <w:rFonts w:cs="Garamond" w:ascii="Garamond" w:hAnsi="Garamond"/>
          <w:sz w:val="22"/>
          <w:szCs w:val="22"/>
          <w:lang w:val="en-US"/>
        </w:rPr>
        <w:t>Paris, 1990.</w:t>
      </w:r>
    </w:p>
    <w:p>
      <w:pPr>
        <w:pStyle w:val="Normal"/>
        <w:ind w:start="720" w:end="-31" w:hanging="720"/>
        <w:jc w:val="both"/>
        <w:rPr/>
      </w:pPr>
      <w:r>
        <w:rPr>
          <w:rFonts w:cs="Garamond" w:ascii="Garamond" w:hAnsi="Garamond"/>
          <w:sz w:val="22"/>
          <w:szCs w:val="22"/>
          <w:lang w:val="en-US"/>
        </w:rPr>
        <w:t xml:space="preserve">Vermeersch P. M., Neer W. van, Gullentops F. El Abadiya 3, Upper Egypt, a Late Palaeolithic Site on the Shore of a Large Nile Lake. Kroeper K., Chlodnicki M., Kobusiewicz M. (eds.). </w:t>
      </w:r>
      <w:r>
        <w:rPr>
          <w:rFonts w:cs="Garamond" w:ascii="Garamond" w:hAnsi="Garamond"/>
          <w:i/>
          <w:sz w:val="22"/>
          <w:szCs w:val="22"/>
          <w:lang w:val="en-US"/>
        </w:rPr>
        <w:t>Archaeology of Early Northeastern Africa</w:t>
      </w:r>
      <w:r>
        <w:rPr>
          <w:rFonts w:cs="Garamond" w:ascii="Garamond" w:hAnsi="Garamond"/>
          <w:sz w:val="22"/>
          <w:szCs w:val="22"/>
          <w:lang w:val="en-US"/>
        </w:rPr>
        <w:t>. Poznan, 2006. Pp. 375–424.</w:t>
      </w:r>
    </w:p>
    <w:p>
      <w:pPr>
        <w:pStyle w:val="Normal"/>
        <w:ind w:start="720" w:end="-31" w:hanging="720"/>
        <w:jc w:val="both"/>
        <w:rPr/>
      </w:pPr>
      <w:r>
        <w:rPr>
          <w:rFonts w:cs="Garamond" w:ascii="Garamond" w:hAnsi="Garamond"/>
          <w:sz w:val="22"/>
          <w:szCs w:val="22"/>
          <w:lang w:val="en-US"/>
        </w:rPr>
        <w:t xml:space="preserve">Vermeersch P. M., Neer W. van. Nile Behaviour and Late Palaeolithic Humans in Upper Egypt during the Late Pleistocene. </w:t>
      </w:r>
      <w:r>
        <w:rPr>
          <w:rFonts w:cs="Garamond" w:ascii="Garamond" w:hAnsi="Garamond"/>
          <w:i/>
          <w:iCs/>
          <w:sz w:val="22"/>
          <w:szCs w:val="22"/>
          <w:lang w:val="en-US"/>
        </w:rPr>
        <w:t>Quaternary Science Reviews</w:t>
      </w:r>
      <w:r>
        <w:rPr>
          <w:rFonts w:cs="Garamond" w:ascii="Garamond" w:hAnsi="Garamond"/>
          <w:sz w:val="22"/>
          <w:szCs w:val="22"/>
          <w:lang w:val="en-US"/>
        </w:rPr>
        <w:t>. 2015. 130. Pp. 155–167.</w:t>
      </w:r>
    </w:p>
    <w:p>
      <w:pPr>
        <w:pStyle w:val="Normal"/>
        <w:ind w:start="720" w:end="-31" w:hanging="720"/>
        <w:jc w:val="both"/>
        <w:rPr/>
      </w:pPr>
      <w:r>
        <w:rPr>
          <w:rFonts w:cs="Garamond" w:ascii="Garamond" w:hAnsi="Garamond"/>
          <w:sz w:val="22"/>
          <w:szCs w:val="22"/>
          <w:lang w:val="en-US"/>
        </w:rPr>
        <w:t xml:space="preserve">Verschuren D., Sinninghe Damsté J. S., Moernaut J., Kristen I., Blaauw M., Fagot M., Haug G. H., CHALLACEA Project Members. Half-Precessional Dynamics of Monsoon Rainfall Near the East African Equator. </w:t>
      </w:r>
      <w:r>
        <w:rPr>
          <w:rFonts w:cs="Garamond" w:ascii="Garamond" w:hAnsi="Garamond"/>
          <w:i/>
          <w:sz w:val="22"/>
          <w:szCs w:val="22"/>
          <w:lang w:val="en-US"/>
        </w:rPr>
        <w:t>Nature</w:t>
      </w:r>
      <w:r>
        <w:rPr>
          <w:rFonts w:cs="Garamond" w:ascii="Garamond" w:hAnsi="Garamond"/>
          <w:sz w:val="22"/>
          <w:szCs w:val="22"/>
          <w:lang w:val="en-US"/>
        </w:rPr>
        <w:t>. 2009. 462. Pp. 637–641.</w:t>
      </w:r>
    </w:p>
    <w:p>
      <w:pPr>
        <w:pStyle w:val="Normal"/>
        <w:ind w:start="720" w:end="-31" w:hanging="720"/>
        <w:jc w:val="both"/>
        <w:rPr/>
      </w:pPr>
      <w:r>
        <w:rPr>
          <w:rFonts w:cs="Garamond" w:ascii="Garamond" w:hAnsi="Garamond"/>
          <w:sz w:val="22"/>
          <w:szCs w:val="22"/>
          <w:lang w:val="en-US"/>
        </w:rPr>
        <w:t xml:space="preserve">Vinogradov A. K. On the Rendering of the Toponym </w:t>
      </w:r>
      <w:r>
        <w:rPr>
          <w:rFonts w:cs="Transliteration" w:ascii="Transliteration" w:hAnsi="Transliteration"/>
          <w:i/>
          <w:sz w:val="18"/>
          <w:szCs w:val="18"/>
          <w:lang w:val="en-US"/>
        </w:rPr>
        <w:t>&amp;A stj</w:t>
      </w:r>
      <w:r>
        <w:rPr>
          <w:rFonts w:cs="Garamond" w:ascii="Garamond" w:hAnsi="Garamond"/>
          <w:sz w:val="22"/>
          <w:szCs w:val="22"/>
          <w:lang w:val="en-US"/>
        </w:rPr>
        <w:t xml:space="preserve">. </w:t>
      </w:r>
      <w:r>
        <w:rPr>
          <w:rFonts w:cs="Garamond" w:ascii="Garamond" w:hAnsi="Garamond"/>
          <w:i/>
          <w:sz w:val="22"/>
          <w:szCs w:val="22"/>
          <w:lang w:val="en-US"/>
        </w:rPr>
        <w:t>Chronique d’Égypte</w:t>
      </w:r>
      <w:r>
        <w:rPr>
          <w:rFonts w:cs="Garamond" w:ascii="Garamond" w:hAnsi="Garamond"/>
          <w:sz w:val="22"/>
          <w:szCs w:val="22"/>
          <w:lang w:val="en-US"/>
        </w:rPr>
        <w:t>. 2000. 75. Pp. 223–234.</w:t>
      </w:r>
    </w:p>
    <w:p>
      <w:pPr>
        <w:pStyle w:val="Normal"/>
        <w:ind w:start="720" w:end="-31" w:hanging="720"/>
        <w:jc w:val="both"/>
        <w:rPr/>
      </w:pPr>
      <w:r>
        <w:rPr>
          <w:rFonts w:cs="Garamond" w:ascii="Garamond" w:hAnsi="Garamond"/>
          <w:sz w:val="22"/>
          <w:szCs w:val="22"/>
          <w:lang w:val="en-US"/>
        </w:rPr>
        <w:t xml:space="preserve">Walker M., Johnsen S., Rasmussen S. O., Popp T., Steffensen J.-P., Gibbard P., Hoek W., Lowe J., Andrews J., Björck S., Cwynar L. C., Hughen K., Kershaw P., Kromer B., Litt T., Lowe D. J., Nakagawa T., Newnham R., Schwander J. Formal Definition and Dating of the GSSP (Global Stratotype Section and Point) for the Base of the Holocene Using the Greenland NGRIP Ice Core, and Selected Auxiliary Records. </w:t>
      </w:r>
      <w:r>
        <w:rPr>
          <w:rFonts w:cs="Garamond" w:ascii="Garamond" w:hAnsi="Garamond"/>
          <w:i/>
          <w:sz w:val="22"/>
          <w:szCs w:val="22"/>
          <w:lang w:val="en-US"/>
        </w:rPr>
        <w:t>Journal of Quarternary Science</w:t>
      </w:r>
      <w:r>
        <w:rPr>
          <w:rFonts w:cs="Garamond" w:ascii="Garamond" w:hAnsi="Garamond"/>
          <w:sz w:val="22"/>
          <w:szCs w:val="22"/>
          <w:lang w:val="en-US"/>
        </w:rPr>
        <w:t>. 2009. 24. Pp. 3–17.</w:t>
      </w:r>
    </w:p>
    <w:p>
      <w:pPr>
        <w:pStyle w:val="Normal"/>
        <w:ind w:start="720" w:end="-31" w:hanging="720"/>
        <w:jc w:val="both"/>
        <w:rPr/>
      </w:pPr>
      <w:r>
        <w:rPr>
          <w:rFonts w:cs="Garamond" w:ascii="Garamond" w:hAnsi="Garamond"/>
          <w:sz w:val="22"/>
          <w:szCs w:val="22"/>
          <w:lang w:val="en-US"/>
        </w:rPr>
        <w:t>Wendorf F. A. Summary of Nubian Prehistory.</w:t>
      </w:r>
      <w:r>
        <w:rPr>
          <w:rFonts w:cs="Garamond" w:ascii="Garamond" w:hAnsi="Garamond"/>
          <w:iCs/>
          <w:sz w:val="22"/>
          <w:szCs w:val="22"/>
          <w:lang w:val="en-US"/>
        </w:rPr>
        <w:t xml:space="preserve"> </w:t>
      </w:r>
      <w:r>
        <w:rPr>
          <w:rFonts w:cs="Garamond" w:ascii="Garamond" w:hAnsi="Garamond"/>
          <w:sz w:val="22"/>
          <w:szCs w:val="22"/>
          <w:lang w:val="en-US"/>
        </w:rPr>
        <w:t xml:space="preserve">Wendorf F. A. (ed.). </w:t>
      </w:r>
      <w:r>
        <w:rPr>
          <w:rFonts w:cs="Garamond" w:ascii="Garamond" w:hAnsi="Garamond"/>
          <w:i/>
          <w:iCs/>
          <w:sz w:val="22"/>
          <w:szCs w:val="22"/>
          <w:lang w:val="en-US"/>
        </w:rPr>
        <w:t>The Prehistory of Nubia</w:t>
      </w:r>
      <w:r>
        <w:rPr>
          <w:rFonts w:cs="Garamond" w:ascii="Garamond" w:hAnsi="Garamond"/>
          <w:iCs/>
          <w:sz w:val="22"/>
          <w:szCs w:val="22"/>
          <w:lang w:val="en-US"/>
        </w:rPr>
        <w:t>. Vol. 2</w:t>
      </w:r>
      <w:r>
        <w:rPr>
          <w:rFonts w:cs="Garamond" w:ascii="Garamond" w:hAnsi="Garamond"/>
          <w:sz w:val="22"/>
          <w:szCs w:val="22"/>
          <w:lang w:val="en-US"/>
        </w:rPr>
        <w:t>. Dallas, 1968. Pp. 1041–1059.</w:t>
      </w:r>
    </w:p>
    <w:p>
      <w:pPr>
        <w:pStyle w:val="Normal"/>
        <w:ind w:start="720" w:end="-31" w:hanging="720"/>
        <w:jc w:val="both"/>
        <w:rPr/>
      </w:pPr>
      <w:r>
        <w:rPr>
          <w:rFonts w:cs="Garamond" w:ascii="Garamond" w:hAnsi="Garamond"/>
          <w:sz w:val="22"/>
          <w:szCs w:val="22"/>
          <w:lang w:val="en-US"/>
        </w:rPr>
        <w:t xml:space="preserve">Wenke R. J., Buck P. E., Hanley J. R., Lane M. E., Long J. E., Redding R. R. The Fayum Archaeological Project: Preliminary Report of the 1981 Season. </w:t>
      </w:r>
      <w:r>
        <w:rPr>
          <w:rFonts w:cs="Garamond" w:ascii="Garamond" w:hAnsi="Garamond"/>
          <w:i/>
          <w:iCs/>
          <w:sz w:val="22"/>
          <w:szCs w:val="22"/>
          <w:lang w:val="en-US"/>
        </w:rPr>
        <w:t>American Research Center in Egypt Newsletter</w:t>
      </w:r>
      <w:r>
        <w:rPr>
          <w:rFonts w:cs="Garamond" w:ascii="Garamond" w:hAnsi="Garamond"/>
          <w:iCs/>
          <w:sz w:val="22"/>
          <w:szCs w:val="22"/>
          <w:lang w:val="en-US"/>
        </w:rPr>
        <w:t xml:space="preserve">. 1983. </w:t>
      </w:r>
      <w:r>
        <w:rPr>
          <w:rFonts w:cs="Garamond" w:ascii="Garamond" w:hAnsi="Garamond"/>
          <w:sz w:val="22"/>
          <w:szCs w:val="22"/>
          <w:lang w:val="en-US"/>
        </w:rPr>
        <w:t>122. Pp. 25–40.</w:t>
      </w:r>
    </w:p>
    <w:p>
      <w:pPr>
        <w:pStyle w:val="Normal"/>
        <w:ind w:start="720" w:end="-31" w:hanging="720"/>
        <w:jc w:val="both"/>
        <w:rPr/>
      </w:pPr>
      <w:r>
        <w:rPr>
          <w:rFonts w:cs="Garamond" w:ascii="Garamond" w:hAnsi="Garamond"/>
          <w:sz w:val="22"/>
          <w:szCs w:val="22"/>
          <w:lang w:val="en-US"/>
        </w:rPr>
        <w:t xml:space="preserve">Wilkinson T. A. H. </w:t>
      </w:r>
      <w:r>
        <w:rPr>
          <w:rFonts w:cs="Garamond" w:ascii="Garamond" w:hAnsi="Garamond"/>
          <w:i/>
          <w:sz w:val="22"/>
          <w:szCs w:val="22"/>
          <w:lang w:val="en-US"/>
        </w:rPr>
        <w:t>Early Dynastic Egypt</w:t>
      </w:r>
      <w:r>
        <w:rPr>
          <w:rFonts w:cs="Garamond" w:ascii="Garamond" w:hAnsi="Garamond"/>
          <w:sz w:val="22"/>
          <w:szCs w:val="22"/>
          <w:lang w:val="en-US"/>
        </w:rPr>
        <w:t>. London, 1999.</w:t>
      </w:r>
    </w:p>
    <w:p>
      <w:pPr>
        <w:pStyle w:val="Normal"/>
        <w:ind w:start="720" w:end="-31" w:hanging="720"/>
        <w:jc w:val="both"/>
        <w:rPr/>
      </w:pPr>
      <w:r>
        <w:rPr>
          <w:rFonts w:cs="Garamond" w:ascii="Garamond" w:hAnsi="Garamond"/>
          <w:sz w:val="22"/>
          <w:szCs w:val="22"/>
          <w:lang w:val="en-US"/>
        </w:rPr>
        <w:t xml:space="preserve">Williams B. B. Forebears of Menes in Nubia: Myth or Reality? </w:t>
      </w:r>
      <w:r>
        <w:rPr>
          <w:rFonts w:cs="Garamond" w:ascii="Garamond" w:hAnsi="Garamond"/>
          <w:i/>
          <w:iCs/>
          <w:sz w:val="22"/>
          <w:szCs w:val="22"/>
          <w:lang w:val="en-US"/>
        </w:rPr>
        <w:t>Journal of Near Eastern Studies</w:t>
      </w:r>
      <w:r>
        <w:rPr>
          <w:rFonts w:cs="Garamond" w:ascii="Garamond" w:hAnsi="Garamond"/>
          <w:sz w:val="22"/>
          <w:szCs w:val="22"/>
          <w:lang w:val="en-US"/>
        </w:rPr>
        <w:t>. 1987. 46. Pp. 15–26.</w:t>
      </w:r>
    </w:p>
    <w:p>
      <w:pPr>
        <w:pStyle w:val="Normal"/>
        <w:ind w:start="720" w:end="-31" w:hanging="720"/>
        <w:jc w:val="both"/>
        <w:rPr/>
      </w:pPr>
      <w:r>
        <w:rPr>
          <w:rFonts w:cs="Garamond" w:ascii="Garamond" w:hAnsi="Garamond"/>
          <w:sz w:val="22"/>
          <w:szCs w:val="22"/>
          <w:lang w:val="en-US"/>
        </w:rPr>
        <w:t xml:space="preserve">Williams B. B. The Lost Pharaohs of Nubia. </w:t>
      </w:r>
      <w:r>
        <w:rPr>
          <w:rFonts w:cs="Garamond" w:ascii="Garamond" w:hAnsi="Garamond"/>
          <w:i/>
          <w:sz w:val="22"/>
          <w:szCs w:val="22"/>
          <w:lang w:val="en-US"/>
        </w:rPr>
        <w:t>Archeology</w:t>
      </w:r>
      <w:r>
        <w:rPr>
          <w:rFonts w:cs="Garamond" w:ascii="Garamond" w:hAnsi="Garamond"/>
          <w:sz w:val="22"/>
          <w:szCs w:val="22"/>
          <w:lang w:val="en-US"/>
        </w:rPr>
        <w:t>. 1980. 33, 5. Pp. 14–21.</w:t>
      </w:r>
    </w:p>
    <w:p>
      <w:pPr>
        <w:pStyle w:val="Normal"/>
        <w:ind w:start="720" w:end="-31" w:hanging="720"/>
        <w:jc w:val="both"/>
        <w:rPr/>
      </w:pPr>
      <w:r>
        <w:rPr>
          <w:rFonts w:cs="Garamond" w:ascii="Garamond" w:hAnsi="Garamond"/>
          <w:sz w:val="22"/>
          <w:szCs w:val="22"/>
          <w:lang w:val="en-US"/>
        </w:rPr>
        <w:t xml:space="preserve">Williams M. A. J., Adamson D. A., Prescott J. R., Williams F. M. New Light on the Age of the White Nile. </w:t>
      </w:r>
      <w:r>
        <w:rPr>
          <w:rFonts w:cs="Garamond" w:ascii="Garamond" w:hAnsi="Garamond"/>
          <w:i/>
          <w:sz w:val="22"/>
          <w:szCs w:val="22"/>
          <w:lang w:val="en-US"/>
        </w:rPr>
        <w:t>Geology</w:t>
      </w:r>
      <w:r>
        <w:rPr>
          <w:rFonts w:cs="Garamond" w:ascii="Garamond" w:hAnsi="Garamond"/>
          <w:sz w:val="22"/>
          <w:szCs w:val="22"/>
          <w:lang w:val="en-US"/>
        </w:rPr>
        <w:t>. 2003. 31. Pp. 1001–1004.</w:t>
      </w:r>
    </w:p>
    <w:p>
      <w:pPr>
        <w:pStyle w:val="Normal"/>
        <w:ind w:start="720" w:end="-31" w:hanging="720"/>
        <w:jc w:val="both"/>
        <w:rPr/>
      </w:pPr>
      <w:r>
        <w:rPr>
          <w:rFonts w:cs="Garamond" w:ascii="Garamond" w:hAnsi="Garamond"/>
          <w:sz w:val="22"/>
          <w:szCs w:val="22"/>
          <w:lang w:val="en-US"/>
        </w:rPr>
        <w:t xml:space="preserve">Williams M. A. J., Talbot M. R., Aharon P., Salaam Y. A., Williams F. M., Brendeland K. I. Abrupt Return of the Summer Monsoon 15,000 Years Ago: New Supporting Evidence from the Lower White Nile Valley and Lake Albert. </w:t>
      </w:r>
      <w:r>
        <w:rPr>
          <w:rFonts w:cs="Garamond" w:ascii="Garamond" w:hAnsi="Garamond"/>
          <w:i/>
          <w:iCs/>
          <w:sz w:val="22"/>
          <w:szCs w:val="22"/>
          <w:lang w:val="en-US"/>
        </w:rPr>
        <w:t>Quaternary Science Reviews</w:t>
      </w:r>
      <w:r>
        <w:rPr>
          <w:rFonts w:cs="Garamond" w:ascii="Garamond" w:hAnsi="Garamond"/>
          <w:sz w:val="22"/>
          <w:szCs w:val="22"/>
          <w:lang w:val="en-US"/>
        </w:rPr>
        <w:t>. 2006. 25. Pp. 2651–2665.</w:t>
      </w:r>
    </w:p>
    <w:p>
      <w:pPr>
        <w:pStyle w:val="Normal"/>
        <w:ind w:start="720" w:end="-31" w:hanging="720"/>
        <w:jc w:val="both"/>
        <w:rPr/>
      </w:pPr>
      <w:r>
        <w:rPr>
          <w:rFonts w:cs="Garamond" w:ascii="Garamond" w:hAnsi="Garamond"/>
          <w:sz w:val="22"/>
          <w:szCs w:val="22"/>
          <w:lang w:val="en-US"/>
        </w:rPr>
        <w:t xml:space="preserve">Williams M. A. J., Williams F. M. Evolution of Nile Basin. Williams M. A. J., Faure H. (eds.). </w:t>
      </w:r>
      <w:r>
        <w:rPr>
          <w:rFonts w:cs="Garamond" w:ascii="Garamond" w:hAnsi="Garamond"/>
          <w:i/>
          <w:iCs/>
          <w:sz w:val="22"/>
          <w:szCs w:val="22"/>
          <w:lang w:val="en-US"/>
        </w:rPr>
        <w:t>The Sahara and the Nile: Quaternary Environments and Prehistoric Occupation in Northern Africa</w:t>
      </w:r>
      <w:r>
        <w:rPr>
          <w:rFonts w:cs="Garamond" w:ascii="Garamond" w:hAnsi="Garamond"/>
          <w:sz w:val="22"/>
          <w:szCs w:val="22"/>
          <w:lang w:val="en-US"/>
        </w:rPr>
        <w:t>. Rotterdam, 1980. Pp. 207–224.</w:t>
      </w:r>
    </w:p>
    <w:p>
      <w:pPr>
        <w:pStyle w:val="Normal"/>
        <w:ind w:start="720" w:end="-31" w:hanging="720"/>
        <w:jc w:val="both"/>
        <w:rPr/>
      </w:pPr>
      <w:r>
        <w:rPr>
          <w:rFonts w:cs="Garamond" w:ascii="Garamond" w:hAnsi="Garamond"/>
          <w:sz w:val="22"/>
          <w:szCs w:val="22"/>
          <w:lang w:val="en-US"/>
        </w:rPr>
        <w:t xml:space="preserve">Williams M. A. J., Williams F. M., Duller G. A. T., Munro R. N., El Tom O. A. M., Barrows T. T., Macklin M., Woodward J., Talbot M. R., Haberlah D., Fluin J. Late Quaternary Floods and Droughts in the Nile Valley, Sudan: New Evidence from Optically Stimulated Luminescence and AMS Radiocarbon Dating. </w:t>
      </w:r>
      <w:r>
        <w:rPr>
          <w:rFonts w:cs="Garamond" w:ascii="Garamond" w:hAnsi="Garamond"/>
          <w:i/>
          <w:iCs/>
          <w:sz w:val="22"/>
          <w:szCs w:val="22"/>
          <w:lang w:val="en-US"/>
        </w:rPr>
        <w:t>Quaternary Science Reviews</w:t>
      </w:r>
      <w:r>
        <w:rPr>
          <w:rFonts w:cs="Garamond" w:ascii="Garamond" w:hAnsi="Garamond"/>
          <w:sz w:val="22"/>
          <w:szCs w:val="22"/>
          <w:lang w:val="en-US"/>
        </w:rPr>
        <w:t>. 2010. 29. Pp. 1116–1137.</w:t>
      </w:r>
    </w:p>
    <w:p>
      <w:pPr>
        <w:pStyle w:val="Normal"/>
        <w:ind w:start="720" w:end="-31" w:hanging="720"/>
        <w:jc w:val="both"/>
        <w:rPr/>
      </w:pPr>
      <w:r>
        <w:rPr>
          <w:rFonts w:cs="Garamond" w:ascii="Garamond" w:hAnsi="Garamond"/>
          <w:sz w:val="22"/>
          <w:szCs w:val="22"/>
          <w:lang w:val="en-US"/>
        </w:rPr>
        <w:t xml:space="preserve">Williams M. A. J. Late Pleistocene and Holocene Environments in the Nile Basin. </w:t>
      </w:r>
      <w:r>
        <w:rPr>
          <w:rFonts w:cs="Garamond" w:ascii="Garamond" w:hAnsi="Garamond"/>
          <w:i/>
          <w:iCs/>
          <w:sz w:val="22"/>
          <w:szCs w:val="22"/>
          <w:lang w:val="en-US"/>
        </w:rPr>
        <w:t>Global and Planetary Change</w:t>
      </w:r>
      <w:r>
        <w:rPr>
          <w:rFonts w:cs="Garamond" w:ascii="Garamond" w:hAnsi="Garamond"/>
          <w:sz w:val="22"/>
          <w:szCs w:val="22"/>
          <w:lang w:val="en-US"/>
        </w:rPr>
        <w:t>. 2009. 69. Pp. 1–15.</w:t>
      </w:r>
    </w:p>
    <w:p>
      <w:pPr>
        <w:pStyle w:val="Normal"/>
        <w:ind w:start="720" w:end="-31" w:hanging="720"/>
        <w:jc w:val="both"/>
        <w:rPr/>
      </w:pPr>
      <w:r>
        <w:rPr>
          <w:rFonts w:cs="Garamond" w:ascii="Garamond" w:hAnsi="Garamond"/>
          <w:sz w:val="22"/>
          <w:szCs w:val="22"/>
          <w:lang w:val="en-US"/>
        </w:rPr>
        <w:t xml:space="preserve">Williams M. A. J. </w:t>
      </w:r>
      <w:r>
        <w:rPr>
          <w:rFonts w:cs="Garamond" w:ascii="Garamond" w:hAnsi="Garamond"/>
          <w:i/>
          <w:sz w:val="22"/>
          <w:szCs w:val="22"/>
          <w:lang w:val="en-US"/>
        </w:rPr>
        <w:t>The Nile Basin: Quaternary Geology, Geomorphology and Prehistoric Environments</w:t>
      </w:r>
      <w:r>
        <w:rPr>
          <w:rFonts w:cs="Garamond" w:ascii="Garamond" w:hAnsi="Garamond"/>
          <w:sz w:val="22"/>
          <w:szCs w:val="22"/>
          <w:lang w:val="en-US"/>
        </w:rPr>
        <w:t>. Cambridge, 2019.</w:t>
      </w:r>
    </w:p>
    <w:p>
      <w:pPr>
        <w:pStyle w:val="Normal"/>
        <w:ind w:start="720" w:end="-31" w:hanging="720"/>
        <w:jc w:val="both"/>
        <w:rPr/>
      </w:pPr>
      <w:r>
        <w:rPr>
          <w:rFonts w:cs="Garamond" w:ascii="Garamond" w:hAnsi="Garamond"/>
          <w:sz w:val="22"/>
          <w:szCs w:val="22"/>
          <w:lang w:val="en-US"/>
        </w:rPr>
        <w:t xml:space="preserve">Winkler H. A. </w:t>
      </w:r>
      <w:r>
        <w:rPr>
          <w:rFonts w:cs="Garamond" w:ascii="Garamond" w:hAnsi="Garamond"/>
          <w:i/>
          <w:sz w:val="22"/>
          <w:szCs w:val="22"/>
          <w:lang w:val="en-US"/>
        </w:rPr>
        <w:t xml:space="preserve">Rock-Drawings of Southern Upper Egypt. </w:t>
      </w:r>
      <w:r>
        <w:rPr>
          <w:rFonts w:cs="Garamond" w:ascii="Garamond" w:hAnsi="Garamond"/>
          <w:sz w:val="22"/>
          <w:szCs w:val="22"/>
          <w:lang w:val="en-US"/>
        </w:rPr>
        <w:t>I.</w:t>
      </w:r>
      <w:r>
        <w:rPr>
          <w:rFonts w:cs="Garamond" w:ascii="Garamond" w:hAnsi="Garamond"/>
          <w:i/>
          <w:sz w:val="22"/>
          <w:szCs w:val="22"/>
          <w:lang w:val="en-US"/>
        </w:rPr>
        <w:t xml:space="preserve"> Sir Robert Mond Desert Expedition, Season 1936–1937. Preliminary Report</w:t>
      </w:r>
      <w:r>
        <w:rPr>
          <w:rFonts w:cs="Garamond" w:ascii="Garamond" w:hAnsi="Garamond"/>
          <w:sz w:val="22"/>
          <w:szCs w:val="22"/>
          <w:lang w:val="en-US"/>
        </w:rPr>
        <w:t>. London, 1938.</w:t>
      </w:r>
    </w:p>
    <w:p>
      <w:pPr>
        <w:pStyle w:val="Normal"/>
        <w:ind w:start="720" w:end="-31" w:hanging="720"/>
        <w:jc w:val="both"/>
        <w:rPr/>
      </w:pPr>
      <w:r>
        <w:rPr>
          <w:rFonts w:cs="Garamond" w:ascii="Garamond" w:hAnsi="Garamond"/>
          <w:sz w:val="22"/>
          <w:szCs w:val="22"/>
          <w:lang w:val="en-US"/>
        </w:rPr>
        <w:t xml:space="preserve">Winkler H. A. </w:t>
      </w:r>
      <w:r>
        <w:rPr>
          <w:rFonts w:cs="Garamond" w:ascii="Garamond" w:hAnsi="Garamond"/>
          <w:i/>
          <w:sz w:val="22"/>
          <w:szCs w:val="22"/>
          <w:lang w:val="en-US"/>
        </w:rPr>
        <w:t xml:space="preserve">Rock-Drawings of Southern Upper Egypt. </w:t>
      </w:r>
      <w:r>
        <w:rPr>
          <w:rFonts w:cs="Garamond" w:ascii="Garamond" w:hAnsi="Garamond"/>
          <w:sz w:val="22"/>
          <w:szCs w:val="22"/>
          <w:lang w:val="en-US"/>
        </w:rPr>
        <w:t>II</w:t>
      </w:r>
      <w:r>
        <w:rPr>
          <w:rFonts w:cs="Garamond" w:ascii="Garamond" w:hAnsi="Garamond"/>
          <w:i/>
          <w:sz w:val="22"/>
          <w:szCs w:val="22"/>
          <w:lang w:val="en-US"/>
        </w:rPr>
        <w:t xml:space="preserve"> (Including </w:t>
      </w:r>
      <w:r>
        <w:rPr>
          <w:rFonts w:cs="Gandhari Unicode" w:ascii="Gandhari Unicode" w:hAnsi="Gandhari Unicode"/>
          <w:i/>
          <w:sz w:val="22"/>
          <w:szCs w:val="22"/>
          <w:lang w:val="en-US"/>
        </w:rPr>
        <w:t>ʽ</w:t>
      </w:r>
      <w:r>
        <w:rPr>
          <w:rFonts w:cs="Garamond" w:ascii="Garamond" w:hAnsi="Garamond"/>
          <w:i/>
          <w:sz w:val="22"/>
          <w:szCs w:val="22"/>
          <w:lang w:val="en-US"/>
        </w:rPr>
        <w:t>Uwēnât). Sir Robert Mond Desert Expedition, Season 1937–1938. Preliminary Report</w:t>
      </w:r>
      <w:r>
        <w:rPr>
          <w:rFonts w:cs="Garamond" w:ascii="Garamond" w:hAnsi="Garamond"/>
          <w:sz w:val="22"/>
          <w:szCs w:val="22"/>
          <w:lang w:val="en-US"/>
        </w:rPr>
        <w:t>. London, 1939.</w:t>
      </w:r>
    </w:p>
    <w:p>
      <w:pPr>
        <w:pStyle w:val="Normal"/>
        <w:ind w:start="720" w:end="-31" w:hanging="720"/>
        <w:jc w:val="both"/>
        <w:rPr/>
      </w:pPr>
      <w:r>
        <w:rPr>
          <w:rFonts w:cs="Garamond" w:ascii="Garamond" w:hAnsi="Garamond"/>
          <w:sz w:val="22"/>
          <w:szCs w:val="22"/>
          <w:lang w:val="en-US"/>
        </w:rPr>
        <w:t xml:space="preserve">Woodward J., Macklin M., Fielding L., Millar I., Spencer N., Welsby D., Williams M. A. J. Shifting Sediment Sources in the World’s Longest River: A Strontium Isotope Record for the Holocene Nile. </w:t>
      </w:r>
      <w:r>
        <w:rPr>
          <w:rFonts w:cs="Garamond" w:ascii="Garamond" w:hAnsi="Garamond"/>
          <w:i/>
          <w:iCs/>
          <w:sz w:val="22"/>
          <w:szCs w:val="22"/>
          <w:lang w:val="en-US"/>
        </w:rPr>
        <w:t>Quaternary Science Reviews</w:t>
      </w:r>
      <w:r>
        <w:rPr>
          <w:rFonts w:cs="Garamond" w:ascii="Garamond" w:hAnsi="Garamond"/>
          <w:sz w:val="22"/>
          <w:szCs w:val="22"/>
          <w:lang w:val="en-US"/>
        </w:rPr>
        <w:t xml:space="preserve">. </w:t>
      </w:r>
      <w:r>
        <w:rPr>
          <w:rFonts w:cs="Garamond" w:ascii="Garamond" w:hAnsi="Garamond"/>
          <w:sz w:val="22"/>
          <w:szCs w:val="22"/>
        </w:rPr>
        <w:t xml:space="preserve">2015. 130.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124–140.</w:t>
      </w:r>
    </w:p>
    <w:p>
      <w:pPr>
        <w:pStyle w:val="Normal"/>
        <w:ind w:start="720" w:end="-31" w:hanging="720"/>
        <w:jc w:val="both"/>
        <w:rPr>
          <w:rFonts w:ascii="Garamond" w:hAnsi="Garamond" w:cs="Garamond"/>
          <w:sz w:val="22"/>
          <w:szCs w:val="22"/>
        </w:rPr>
      </w:pPr>
      <w:r>
        <w:rPr>
          <w:rFonts w:cs="Garamond" w:ascii="Garamond" w:hAnsi="Garamond"/>
          <w:sz w:val="22"/>
          <w:szCs w:val="22"/>
        </w:rPr>
      </w:r>
    </w:p>
    <w:p>
      <w:pPr>
        <w:pStyle w:val="Normal"/>
        <w:ind w:start="720" w:end="-31" w:hanging="720"/>
        <w:jc w:val="both"/>
        <w:rPr>
          <w:rFonts w:ascii="Garamond" w:hAnsi="Garamond" w:cs="Garamond"/>
          <w:sz w:val="22"/>
          <w:szCs w:val="22"/>
        </w:rPr>
      </w:pPr>
      <w:r>
        <w:rPr>
          <w:rFonts w:cs="Garamond" w:ascii="Garamond" w:hAnsi="Garamond"/>
          <w:sz w:val="22"/>
          <w:szCs w:val="22"/>
        </w:rPr>
      </w:r>
    </w:p>
    <w:p>
      <w:pPr>
        <w:pStyle w:val="Normal"/>
        <w:ind w:start="720" w:end="-31" w:hanging="720"/>
        <w:jc w:val="center"/>
        <w:rPr>
          <w:rFonts w:ascii="Garamond" w:hAnsi="Garamond" w:cs="Garamond"/>
          <w:sz w:val="24"/>
          <w:szCs w:val="24"/>
        </w:rPr>
      </w:pPr>
      <w:r>
        <w:rPr>
          <w:rFonts w:cs="Garamond" w:ascii="Garamond" w:hAnsi="Garamond"/>
          <w:sz w:val="24"/>
          <w:szCs w:val="24"/>
        </w:rPr>
        <w:t xml:space="preserve">Электронные ресурсы / </w:t>
      </w:r>
      <w:r>
        <w:rPr>
          <w:rFonts w:cs="Garamond" w:ascii="Garamond" w:hAnsi="Garamond"/>
          <w:sz w:val="24"/>
          <w:szCs w:val="24"/>
          <w:lang w:val="en-US"/>
        </w:rPr>
        <w:t>Electronic</w:t>
      </w:r>
      <w:r>
        <w:rPr>
          <w:rFonts w:cs="Garamond" w:ascii="Garamond" w:hAnsi="Garamond"/>
          <w:sz w:val="24"/>
          <w:szCs w:val="24"/>
        </w:rPr>
        <w:t xml:space="preserve"> </w:t>
      </w:r>
      <w:r>
        <w:rPr>
          <w:rFonts w:cs="Garamond" w:ascii="Garamond" w:hAnsi="Garamond"/>
          <w:sz w:val="24"/>
          <w:szCs w:val="24"/>
          <w:lang w:val="en-US"/>
        </w:rPr>
        <w:t>sources</w:t>
      </w:r>
    </w:p>
    <w:p>
      <w:pPr>
        <w:pStyle w:val="Normal"/>
        <w:ind w:start="720" w:end="-31" w:hanging="720"/>
        <w:jc w:val="both"/>
        <w:rPr>
          <w:rFonts w:ascii="Garamond" w:hAnsi="Garamond" w:cs="Garamond"/>
          <w:sz w:val="8"/>
          <w:szCs w:val="8"/>
        </w:rPr>
      </w:pPr>
      <w:r>
        <w:rPr>
          <w:rFonts w:cs="Garamond" w:ascii="Garamond" w:hAnsi="Garamond"/>
          <w:sz w:val="8"/>
          <w:szCs w:val="8"/>
        </w:rPr>
      </w:r>
    </w:p>
    <w:p>
      <w:pPr>
        <w:pStyle w:val="Normal"/>
        <w:autoSpaceDE w:val="false"/>
        <w:ind w:start="720" w:end="-31" w:hanging="720"/>
        <w:jc w:val="both"/>
        <w:rPr/>
      </w:pPr>
      <w:r>
        <w:rPr>
          <w:rFonts w:cs="Garamond" w:ascii="Garamond" w:hAnsi="Garamond"/>
          <w:sz w:val="22"/>
          <w:szCs w:val="22"/>
          <w:lang w:val="en-US"/>
        </w:rPr>
        <w:t xml:space="preserve">Storemyr P. </w:t>
      </w:r>
      <w:r>
        <w:rPr>
          <w:rFonts w:cs="Garamond" w:ascii="Garamond" w:hAnsi="Garamond"/>
          <w:i/>
          <w:sz w:val="22"/>
          <w:szCs w:val="22"/>
          <w:lang w:val="en-US"/>
        </w:rPr>
        <w:t>The Little-Known Archaeology of Gharb Aswan, Upper Egypt</w:t>
      </w:r>
      <w:r>
        <w:rPr>
          <w:rFonts w:cs="Garamond" w:ascii="Garamond" w:hAnsi="Garamond"/>
          <w:sz w:val="22"/>
          <w:szCs w:val="22"/>
          <w:lang w:val="en-US"/>
        </w:rPr>
        <w:t>. URL</w:t>
      </w:r>
      <w:r>
        <w:rPr>
          <w:rFonts w:cs="Garamond" w:ascii="Garamond" w:hAnsi="Garamond"/>
          <w:sz w:val="22"/>
          <w:szCs w:val="22"/>
        </w:rPr>
        <w:t xml:space="preserve">: </w:t>
      </w:r>
      <w:hyperlink r:id="rId13">
        <w:r>
          <w:rPr>
            <w:rStyle w:val="Style15"/>
            <w:rFonts w:cs="Garamond" w:ascii="Garamond" w:hAnsi="Garamond"/>
            <w:color w:val="000000"/>
            <w:sz w:val="22"/>
            <w:szCs w:val="22"/>
            <w:u w:val="none"/>
            <w:lang w:val="en-US"/>
          </w:rPr>
          <w:t>https</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per</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storemyr</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net</w:t>
        </w:r>
        <w:r>
          <w:rPr>
            <w:rStyle w:val="Style15"/>
            <w:rFonts w:cs="Garamond" w:ascii="Garamond" w:hAnsi="Garamond"/>
            <w:color w:val="000000"/>
            <w:sz w:val="22"/>
            <w:szCs w:val="22"/>
            <w:u w:val="none"/>
          </w:rPr>
          <w:t>/2013/02/27/</w:t>
        </w:r>
        <w:r>
          <w:rPr>
            <w:rStyle w:val="Style15"/>
            <w:rFonts w:cs="Garamond" w:ascii="Garamond" w:hAnsi="Garamond"/>
            <w:color w:val="000000"/>
            <w:sz w:val="22"/>
            <w:szCs w:val="22"/>
            <w:u w:val="none"/>
            <w:lang w:val="en-US"/>
          </w:rPr>
          <w:t>the</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little</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known</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archaeology</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of</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gharb</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aswan</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upper</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egypt</w:t>
        </w:r>
        <w:r>
          <w:rPr>
            <w:rStyle w:val="Style15"/>
            <w:rFonts w:cs="Garamond" w:ascii="Garamond" w:hAnsi="Garamond"/>
            <w:color w:val="000000"/>
            <w:sz w:val="22"/>
            <w:szCs w:val="22"/>
            <w:u w:val="none"/>
          </w:rPr>
          <w:t>/</w:t>
        </w:r>
      </w:hyperlink>
      <w:r>
        <w:rPr>
          <w:rFonts w:cs="Garamond" w:ascii="Garamond" w:hAnsi="Garamond"/>
          <w:sz w:val="22"/>
          <w:szCs w:val="22"/>
        </w:rPr>
        <w:t xml:space="preserve"> (дата обращения 21.10.2019).</w:t>
      </w:r>
    </w:p>
    <w:p>
      <w:pPr>
        <w:pStyle w:val="Normal"/>
        <w:autoSpaceDE w:val="false"/>
        <w:ind w:start="720" w:end="-31" w:hanging="720"/>
        <w:jc w:val="both"/>
        <w:rPr/>
      </w:pPr>
      <w:r>
        <w:rPr>
          <w:rFonts w:cs="Garamond" w:ascii="Garamond" w:hAnsi="Garamond"/>
          <w:sz w:val="22"/>
          <w:szCs w:val="22"/>
          <w:lang w:val="en-US"/>
        </w:rPr>
        <w:t xml:space="preserve">Storemyr P. </w:t>
      </w:r>
      <w:r>
        <w:rPr>
          <w:rFonts w:cs="Garamond" w:ascii="Garamond" w:hAnsi="Garamond"/>
          <w:i/>
          <w:sz w:val="22"/>
          <w:szCs w:val="22"/>
          <w:lang w:val="en-US"/>
        </w:rPr>
        <w:t>The Palaeolithic Rock Art in Wadi Abu Subeira, Egypt: Landscape, Archaeology, Threats and Conservation</w:t>
      </w:r>
      <w:r>
        <w:rPr>
          <w:rFonts w:cs="Garamond" w:ascii="Garamond" w:hAnsi="Garamond"/>
          <w:sz w:val="22"/>
          <w:szCs w:val="22"/>
          <w:lang w:val="en-US"/>
        </w:rPr>
        <w:t>. URL</w:t>
      </w:r>
      <w:r>
        <w:rPr>
          <w:rFonts w:cs="Garamond" w:ascii="Garamond" w:hAnsi="Garamond"/>
          <w:sz w:val="22"/>
          <w:szCs w:val="22"/>
        </w:rPr>
        <w:t xml:space="preserve">: </w:t>
      </w:r>
      <w:hyperlink r:id="rId14">
        <w:r>
          <w:rPr>
            <w:rStyle w:val="Style15"/>
            <w:rFonts w:cs="Garamond" w:ascii="Garamond" w:hAnsi="Garamond"/>
            <w:color w:val="000000"/>
            <w:sz w:val="22"/>
            <w:szCs w:val="22"/>
            <w:u w:val="none"/>
            <w:lang w:val="en-US"/>
          </w:rPr>
          <w:t>https</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per</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storemyr</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net</w:t>
        </w:r>
        <w:r>
          <w:rPr>
            <w:rStyle w:val="Style15"/>
            <w:rFonts w:cs="Garamond" w:ascii="Garamond" w:hAnsi="Garamond"/>
            <w:color w:val="000000"/>
            <w:sz w:val="22"/>
            <w:szCs w:val="22"/>
            <w:u w:val="none"/>
          </w:rPr>
          <w:t>/2012/05/01/</w:t>
        </w:r>
        <w:r>
          <w:rPr>
            <w:rStyle w:val="Style15"/>
            <w:rFonts w:cs="Garamond" w:ascii="Garamond" w:hAnsi="Garamond"/>
            <w:color w:val="000000"/>
            <w:sz w:val="22"/>
            <w:szCs w:val="22"/>
            <w:u w:val="none"/>
            <w:lang w:val="en-US"/>
          </w:rPr>
          <w:t>the</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palaeolithic</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rock</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art</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in</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wadi</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abu</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subeira</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egypt</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landscape</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archaeology</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threats</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and</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conservation</w:t>
        </w:r>
        <w:r>
          <w:rPr>
            <w:rStyle w:val="Style15"/>
            <w:rFonts w:cs="Garamond" w:ascii="Garamond" w:hAnsi="Garamond"/>
            <w:color w:val="000000"/>
            <w:sz w:val="22"/>
            <w:szCs w:val="22"/>
            <w:u w:val="none"/>
          </w:rPr>
          <w:t>/</w:t>
        </w:r>
      </w:hyperlink>
      <w:r>
        <w:rPr>
          <w:rFonts w:cs="Garamond" w:ascii="Garamond" w:hAnsi="Garamond"/>
          <w:sz w:val="22"/>
          <w:szCs w:val="22"/>
        </w:rPr>
        <w:t xml:space="preserve"> (дата обращения 26.11.2019).</w:t>
      </w:r>
    </w:p>
    <w:p>
      <w:pPr>
        <w:pStyle w:val="Normal"/>
        <w:ind w:start="720" w:end="-31" w:hanging="720"/>
        <w:jc w:val="both"/>
        <w:rPr/>
      </w:pPr>
      <w:r>
        <w:rPr>
          <w:rFonts w:cs="Garamond" w:ascii="Garamond" w:hAnsi="Garamond"/>
          <w:sz w:val="22"/>
          <w:szCs w:val="22"/>
          <w:lang w:val="de-DE"/>
        </w:rPr>
        <w:t xml:space="preserve">Williams B., Kleinitz C., Reshetnikova N., Unhammer O. </w:t>
      </w:r>
      <w:r>
        <w:rPr>
          <w:rFonts w:cs="Garamond" w:ascii="Garamond" w:hAnsi="Garamond"/>
          <w:i/>
          <w:sz w:val="22"/>
          <w:szCs w:val="22"/>
          <w:lang w:val="de-DE"/>
        </w:rPr>
        <w:t>The Gebel Sheikh Suleiman Monument</w:t>
      </w:r>
      <w:r>
        <w:rPr>
          <w:rFonts w:cs="Garamond" w:ascii="Garamond" w:hAnsi="Garamond"/>
          <w:sz w:val="22"/>
          <w:szCs w:val="22"/>
          <w:lang w:val="de-DE"/>
        </w:rPr>
        <w:t xml:space="preserve">. </w:t>
      </w:r>
      <w:r>
        <w:rPr>
          <w:rFonts w:cs="Garamond" w:ascii="Garamond" w:hAnsi="Garamond"/>
          <w:sz w:val="22"/>
          <w:szCs w:val="22"/>
          <w:lang w:val="en-US"/>
        </w:rPr>
        <w:t>URL</w:t>
      </w:r>
      <w:r>
        <w:rPr>
          <w:rFonts w:cs="Garamond" w:ascii="Garamond" w:hAnsi="Garamond"/>
          <w:sz w:val="22"/>
          <w:szCs w:val="22"/>
        </w:rPr>
        <w:t xml:space="preserve">: </w:t>
      </w:r>
      <w:hyperlink r:id="rId15">
        <w:r>
          <w:rPr>
            <w:rStyle w:val="Style15"/>
            <w:rFonts w:cs="Garamond" w:ascii="Garamond" w:hAnsi="Garamond"/>
            <w:color w:val="000000"/>
            <w:sz w:val="22"/>
            <w:szCs w:val="22"/>
            <w:u w:val="none"/>
            <w:lang w:val="en-US"/>
          </w:rPr>
          <w:t>https</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www</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academia</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edu</w:t>
        </w:r>
        <w:r>
          <w:rPr>
            <w:rStyle w:val="Style15"/>
            <w:rFonts w:cs="Garamond" w:ascii="Garamond" w:hAnsi="Garamond"/>
            <w:color w:val="000000"/>
            <w:sz w:val="22"/>
            <w:szCs w:val="22"/>
            <w:u w:val="none"/>
          </w:rPr>
          <w:t>/34223600/</w:t>
        </w:r>
        <w:r>
          <w:rPr>
            <w:rStyle w:val="Style15"/>
            <w:rFonts w:cs="Garamond" w:ascii="Garamond" w:hAnsi="Garamond"/>
            <w:color w:val="000000"/>
            <w:sz w:val="22"/>
            <w:szCs w:val="22"/>
            <w:u w:val="none"/>
            <w:lang w:val="en-US"/>
          </w:rPr>
          <w:t>The</w:t>
        </w:r>
        <w:r>
          <w:rPr>
            <w:rStyle w:val="Style15"/>
            <w:rFonts w:cs="Garamond" w:ascii="Garamond" w:hAnsi="Garamond"/>
            <w:color w:val="000000"/>
            <w:sz w:val="22"/>
            <w:szCs w:val="22"/>
            <w:u w:val="none"/>
          </w:rPr>
          <w:t>_</w:t>
        </w:r>
        <w:r>
          <w:rPr>
            <w:rStyle w:val="Style15"/>
            <w:rFonts w:cs="Garamond" w:ascii="Garamond" w:hAnsi="Garamond"/>
            <w:color w:val="000000"/>
            <w:sz w:val="22"/>
            <w:szCs w:val="22"/>
            <w:u w:val="none"/>
            <w:lang w:val="en-US"/>
          </w:rPr>
          <w:t>Gebel</w:t>
        </w:r>
        <w:r>
          <w:rPr>
            <w:rStyle w:val="Style15"/>
            <w:rFonts w:cs="Garamond" w:ascii="Garamond" w:hAnsi="Garamond"/>
            <w:color w:val="000000"/>
            <w:sz w:val="22"/>
            <w:szCs w:val="22"/>
            <w:u w:val="none"/>
          </w:rPr>
          <w:t>_</w:t>
        </w:r>
        <w:r>
          <w:rPr>
            <w:rStyle w:val="Style15"/>
            <w:rFonts w:cs="Garamond" w:ascii="Garamond" w:hAnsi="Garamond"/>
            <w:color w:val="000000"/>
            <w:sz w:val="22"/>
            <w:szCs w:val="22"/>
            <w:u w:val="none"/>
            <w:lang w:val="en-US"/>
          </w:rPr>
          <w:t>Sheikh</w:t>
        </w:r>
        <w:r>
          <w:rPr>
            <w:rStyle w:val="Style15"/>
            <w:rFonts w:cs="Garamond" w:ascii="Garamond" w:hAnsi="Garamond"/>
            <w:color w:val="000000"/>
            <w:sz w:val="22"/>
            <w:szCs w:val="22"/>
            <w:u w:val="none"/>
          </w:rPr>
          <w:t>_</w:t>
        </w:r>
        <w:r>
          <w:rPr>
            <w:rStyle w:val="Style15"/>
            <w:rFonts w:cs="Garamond" w:ascii="Garamond" w:hAnsi="Garamond"/>
            <w:color w:val="000000"/>
            <w:sz w:val="22"/>
            <w:szCs w:val="22"/>
            <w:u w:val="none"/>
            <w:lang w:val="en-US"/>
          </w:rPr>
          <w:t>Suleiman</w:t>
        </w:r>
        <w:r>
          <w:rPr>
            <w:rStyle w:val="Style15"/>
            <w:rFonts w:cs="Garamond" w:ascii="Garamond" w:hAnsi="Garamond"/>
            <w:color w:val="000000"/>
            <w:sz w:val="22"/>
            <w:szCs w:val="22"/>
            <w:u w:val="none"/>
          </w:rPr>
          <w:t>_</w:t>
        </w:r>
        <w:r>
          <w:rPr>
            <w:rStyle w:val="Style15"/>
            <w:rFonts w:cs="Garamond" w:ascii="Garamond" w:hAnsi="Garamond"/>
            <w:color w:val="000000"/>
            <w:sz w:val="22"/>
            <w:szCs w:val="22"/>
            <w:u w:val="none"/>
            <w:lang w:val="en-US"/>
          </w:rPr>
          <w:t>Monument</w:t>
        </w:r>
      </w:hyperlink>
      <w:r>
        <w:rPr>
          <w:rFonts w:cs="Garamond" w:ascii="Garamond" w:hAnsi="Garamond"/>
          <w:sz w:val="22"/>
          <w:szCs w:val="22"/>
        </w:rPr>
        <w:t xml:space="preserve"> (дата обращения 06.10.2019).</w:t>
      </w:r>
    </w:p>
    <w:p>
      <w:pPr>
        <w:pStyle w:val="Normal"/>
        <w:autoSpaceDE w:val="false"/>
        <w:ind w:start="720" w:end="-31" w:hanging="720"/>
        <w:jc w:val="both"/>
        <w:rPr/>
      </w:pPr>
      <w:r>
        <w:rPr>
          <w:rFonts w:cs="Garamond" w:ascii="Garamond" w:hAnsi="Garamond"/>
          <w:sz w:val="22"/>
          <w:szCs w:val="22"/>
        </w:rPr>
        <w:t xml:space="preserve">Дробышевский С. В. О расах Древнего Египта и Нубии. </w:t>
      </w:r>
      <w:r>
        <w:rPr>
          <w:rFonts w:cs="Garamond" w:ascii="Garamond" w:hAnsi="Garamond"/>
          <w:i/>
          <w:sz w:val="22"/>
          <w:szCs w:val="22"/>
        </w:rPr>
        <w:t>Антропогенез.ру</w:t>
      </w:r>
      <w:r>
        <w:rPr>
          <w:rFonts w:cs="Garamond" w:ascii="Garamond" w:hAnsi="Garamond"/>
          <w:sz w:val="22"/>
          <w:szCs w:val="22"/>
        </w:rPr>
        <w:t xml:space="preserve">. </w:t>
      </w:r>
      <w:r>
        <w:rPr>
          <w:rFonts w:cs="Garamond" w:ascii="Garamond" w:hAnsi="Garamond"/>
          <w:sz w:val="22"/>
          <w:szCs w:val="22"/>
          <w:lang w:val="en-US"/>
        </w:rPr>
        <w:t>URL</w:t>
      </w:r>
      <w:r>
        <w:rPr>
          <w:rFonts w:cs="Garamond" w:ascii="Garamond" w:hAnsi="Garamond"/>
          <w:sz w:val="22"/>
          <w:szCs w:val="22"/>
        </w:rPr>
        <w:t xml:space="preserve">: </w:t>
      </w:r>
      <w:hyperlink r:id="rId16">
        <w:r>
          <w:rPr>
            <w:rStyle w:val="Style15"/>
            <w:rFonts w:cs="Garamond" w:ascii="Garamond" w:hAnsi="Garamond"/>
            <w:color w:val="000000"/>
            <w:sz w:val="22"/>
            <w:szCs w:val="22"/>
            <w:u w:val="none"/>
          </w:rPr>
          <w:t>http://antropogenez.ru/zveno-single/302/</w:t>
        </w:r>
      </w:hyperlink>
      <w:r>
        <w:rPr>
          <w:rFonts w:cs="Garamond" w:ascii="Garamond" w:hAnsi="Garamond"/>
          <w:sz w:val="22"/>
          <w:szCs w:val="22"/>
        </w:rPr>
        <w:t xml:space="preserve"> (дата обращения 27.09.2019)</w:t>
      </w:r>
    </w:p>
    <w:sectPr>
      <w:headerReference w:type="default" r:id="rId17"/>
      <w:footerReference w:type="default" r:id="rId18"/>
      <w:footnotePr>
        <w:numFmt w:val="decimal"/>
        <w:numRestart w:val="eachSect"/>
      </w:footnotePr>
      <w:type w:val="nextPage"/>
      <w:pgSz w:w="11057" w:h="14740"/>
      <w:pgMar w:left="1134" w:right="1134" w:header="709" w:top="1134"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Times">
    <w:altName w:val="Times New Roman"/>
    <w:charset w:val="00" w:characterSet="windows-1252"/>
    <w:family w:val="roman"/>
    <w:pitch w:val="variable"/>
  </w:font>
  <w:font w:name="Garamond">
    <w:charset w:val="cc" w:characterSet="windows-1251"/>
    <w:family w:val="roman"/>
    <w:pitch w:val="variable"/>
  </w:font>
  <w:font w:name="Liberation Sans">
    <w:altName w:val="Arial"/>
    <w:charset w:val="01" w:characterSet="utf-8"/>
    <w:family w:val="swiss"/>
    <w:pitch w:val="variable"/>
  </w:font>
  <w:font w:name="Transliteration">
    <w:charset w:val="00" w:characterSet="windows-1252"/>
    <w:family w:val="roman"/>
    <w:pitch w:val="variable"/>
  </w:font>
  <w:font w:name="Gandhari Unicode">
    <w:charset w:val="cc" w:characterSet="windows-125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11">
              <wp:simplePos x="0" y="0"/>
              <wp:positionH relativeFrom="margin">
                <wp:align>center</wp:align>
              </wp:positionH>
              <wp:positionV relativeFrom="paragraph">
                <wp:posOffset>635</wp:posOffset>
              </wp:positionV>
              <wp:extent cx="178435" cy="162560"/>
              <wp:effectExtent l="0" t="0" r="0" b="0"/>
              <wp:wrapSquare wrapText="largest"/>
              <wp:docPr id="1" name="Врезка2"/>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27"/>
                            <w:rPr>
                              <w:rStyle w:val="Style17"/>
                              <w:rFonts w:ascii="Garamond" w:hAnsi="Garamond" w:cs="Garamond"/>
                              <w:sz w:val="22"/>
                              <w:szCs w:val="22"/>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13</w:t>
                          </w:r>
                          <w:r>
                            <w:rPr>
                              <w:rStyle w:val="Style17"/>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14.05pt;height:12.8pt;mso-wrap-distance-left:0pt;mso-wrap-distance-right:0pt;mso-wrap-distance-top:0pt;mso-wrap-distance-bottom:0pt;margin-top:0.05pt;mso-position-vertical-relative:text;margin-left:212.7pt;mso-position-horizontal:center;mso-position-horizontal-relative:margin">
              <v:fill opacity="0f"/>
              <v:textbox>
                <w:txbxContent>
                  <w:p>
                    <w:pPr>
                      <w:pStyle w:val="Style27"/>
                      <w:rPr>
                        <w:rStyle w:val="Style17"/>
                        <w:rFonts w:ascii="Garamond" w:hAnsi="Garamond" w:cs="Garamond"/>
                        <w:sz w:val="22"/>
                        <w:szCs w:val="22"/>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13</w:t>
                    </w:r>
                    <w:r>
                      <w:rPr>
                        <w:rStyle w:val="Style17"/>
                        <w:sz w:val="22"/>
                        <w:szCs w:val="22"/>
                        <w:rFonts w:cs="Garamond" w:ascii="Garamond" w:hAnsi="Garamond"/>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38">
              <wp:simplePos x="0" y="0"/>
              <wp:positionH relativeFrom="margin">
                <wp:align>center</wp:align>
              </wp:positionH>
              <wp:positionV relativeFrom="paragraph">
                <wp:posOffset>635</wp:posOffset>
              </wp:positionV>
              <wp:extent cx="178435" cy="162560"/>
              <wp:effectExtent l="0" t="0" r="0" b="0"/>
              <wp:wrapSquare wrapText="largest"/>
              <wp:docPr id="11" name="Врезка3"/>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27"/>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40</w:t>
                          </w:r>
                          <w:r>
                            <w:rPr>
                              <w:rStyle w:val="Style17"/>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14.05pt;height:12.8pt;mso-wrap-distance-left:0pt;mso-wrap-distance-right:0pt;mso-wrap-distance-top:0pt;mso-wrap-distance-bottom:0pt;margin-top:0.05pt;mso-position-vertical-relative:text;margin-left:212.7pt;mso-position-horizontal:center;mso-position-horizontal-relative:margin">
              <v:fill opacity="0f"/>
              <v:textbox>
                <w:txbxContent>
                  <w:p>
                    <w:pPr>
                      <w:pStyle w:val="Style27"/>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40</w:t>
                    </w:r>
                    <w:r>
                      <w:rPr>
                        <w:rStyle w:val="Style17"/>
                        <w:sz w:val="22"/>
                        <w:szCs w:val="22"/>
                        <w:rFonts w:cs="Garamond" w:ascii="Garamond" w:hAnsi="Garamond"/>
                      </w:rPr>
                      <w:fldChar w:fldCharType="end"/>
                    </w:r>
                  </w:p>
                </w:txbxContent>
              </v:textbox>
              <w10:wrap type="square" side="largest"/>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Style28"/>
        <w:ind w:end="-31" w:hanging="0"/>
        <w:jc w:val="both"/>
        <w:rPr>
          <w:rFonts w:ascii="Garamond" w:hAnsi="Garamond" w:cs="Garamond"/>
          <w:sz w:val="20"/>
          <w:szCs w:val="20"/>
          <w:lang w:val="en-US"/>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 xml:space="preserve">Дмитрий Борисович ПРУСАКОВ, доктор исторических наук, главный научный сотрудник Института востоковедения РАН, Москва; </w:t>
      </w:r>
      <w:hyperlink r:id="rId1">
        <w:r>
          <w:rPr>
            <w:rStyle w:val="Style15"/>
            <w:rFonts w:cs="Garamond" w:ascii="Garamond" w:hAnsi="Garamond"/>
            <w:color w:val="000000"/>
            <w:sz w:val="20"/>
            <w:szCs w:val="20"/>
            <w:u w:val="none"/>
            <w:lang w:val="en-US"/>
          </w:rPr>
          <w:t>dmprusakov</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mail</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ru</w:t>
        </w:r>
      </w:hyperlink>
    </w:p>
    <w:p>
      <w:pPr>
        <w:pStyle w:val="Style28"/>
        <w:ind w:end="-31" w:hanging="0"/>
        <w:jc w:val="both"/>
        <w:rPr>
          <w:rFonts w:ascii="Garamond" w:hAnsi="Garamond" w:cs="Garamond"/>
          <w:sz w:val="20"/>
          <w:szCs w:val="20"/>
          <w:lang w:val="en-US"/>
        </w:rPr>
      </w:pPr>
      <w:r>
        <w:rPr>
          <w:rFonts w:eastAsia="Garamond" w:cs="Garamond" w:ascii="Garamond" w:hAnsi="Garamond"/>
          <w:sz w:val="20"/>
          <w:szCs w:val="20"/>
          <w:lang w:val="en-US"/>
        </w:rPr>
        <w:tab/>
        <w:t xml:space="preserve">  </w:t>
      </w:r>
      <w:r>
        <w:rPr>
          <w:rFonts w:cs="Garamond" w:ascii="Garamond" w:hAnsi="Garamond"/>
          <w:sz w:val="20"/>
          <w:szCs w:val="20"/>
          <w:lang w:val="en-US"/>
        </w:rPr>
        <w:t xml:space="preserve">Dmitry B. </w:t>
      </w:r>
      <w:r>
        <w:rPr>
          <w:rFonts w:cs="Garamond" w:ascii="Garamond" w:hAnsi="Garamond"/>
          <w:caps/>
          <w:sz w:val="20"/>
          <w:szCs w:val="20"/>
          <w:lang w:val="en-US"/>
        </w:rPr>
        <w:t>Proussakov</w:t>
      </w:r>
      <w:r>
        <w:rPr>
          <w:rFonts w:cs="Garamond" w:ascii="Garamond" w:hAnsi="Garamond"/>
          <w:sz w:val="20"/>
          <w:szCs w:val="20"/>
          <w:lang w:val="en-US"/>
        </w:rPr>
        <w:t xml:space="preserve">, DSc (History), Principal Research Fellow, Institute of Oriental Studies RAS, Moscow; </w:t>
      </w:r>
      <w:hyperlink r:id="rId2">
        <w:r>
          <w:rPr>
            <w:rStyle w:val="Style15"/>
            <w:rFonts w:cs="Garamond" w:ascii="Garamond" w:hAnsi="Garamond"/>
            <w:color w:val="000000"/>
            <w:sz w:val="20"/>
            <w:szCs w:val="20"/>
            <w:u w:val="none"/>
            <w:lang w:val="en-US"/>
          </w:rPr>
          <w:t>dmprusakov@mail.ru</w:t>
        </w:r>
      </w:hyperlink>
    </w:p>
    <w:p>
      <w:pPr>
        <w:pStyle w:val="Style28"/>
        <w:ind w:end="-31" w:hanging="0"/>
        <w:jc w:val="both"/>
        <w:rPr>
          <w:rFonts w:ascii="Garamond" w:hAnsi="Garamond" w:cs="Garamond"/>
          <w:sz w:val="20"/>
          <w:szCs w:val="20"/>
        </w:rPr>
      </w:pPr>
      <w:r>
        <w:rPr>
          <w:rFonts w:eastAsia="Garamond" w:cs="Garamond" w:ascii="Garamond" w:hAnsi="Garamond"/>
          <w:sz w:val="20"/>
          <w:szCs w:val="20"/>
          <w:lang w:val="en-US"/>
        </w:rPr>
        <w:tab/>
        <w:t xml:space="preserve">  </w:t>
      </w:r>
      <w:r>
        <w:rPr>
          <w:rFonts w:cs="Garamond" w:ascii="Garamond" w:hAnsi="Garamond"/>
          <w:sz w:val="20"/>
          <w:szCs w:val="20"/>
        </w:rPr>
        <w:t xml:space="preserve">ORCID ID: </w:t>
      </w:r>
      <w:hyperlink r:id="rId3" w:tgtFrame="_blank">
        <w:r>
          <w:rPr>
            <w:rStyle w:val="Style15"/>
            <w:rFonts w:cs="Garamond" w:ascii="Garamond" w:hAnsi="Garamond"/>
            <w:color w:val="000000"/>
            <w:sz w:val="20"/>
            <w:szCs w:val="20"/>
            <w:u w:val="none"/>
          </w:rPr>
          <w:t>0000-0001-6065-4610</w:t>
        </w:r>
      </w:hyperlink>
    </w:p>
  </w:footnote>
  <w:footnote w:id="3">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А до того, 10–12 млн. лет назад, с Индо-Пацификой в ходе распада древнего океана Тетис (см.,</w:t>
      </w:r>
      <w:r>
        <w:rPr>
          <w:rFonts w:cs="Garamond" w:ascii="Garamond" w:hAnsi="Garamond"/>
          <w:sz w:val="20"/>
          <w:szCs w:val="20"/>
          <w:lang w:val="en-US"/>
        </w:rPr>
        <w:t> </w:t>
      </w:r>
      <w:r>
        <w:rPr>
          <w:rFonts w:cs="Garamond" w:ascii="Garamond" w:hAnsi="Garamond"/>
          <w:sz w:val="20"/>
          <w:szCs w:val="20"/>
        </w:rPr>
        <w:t>например: [</w:t>
      </w:r>
      <w:r>
        <w:rPr>
          <w:rFonts w:cs="Garamond" w:ascii="Garamond" w:hAnsi="Garamond"/>
          <w:sz w:val="20"/>
          <w:szCs w:val="20"/>
          <w:lang w:val="en-US"/>
        </w:rPr>
        <w:t>von</w:t>
      </w:r>
      <w:r>
        <w:rPr>
          <w:rFonts w:cs="Garamond" w:ascii="Garamond" w:hAnsi="Garamond"/>
          <w:sz w:val="20"/>
          <w:szCs w:val="20"/>
        </w:rPr>
        <w:t xml:space="preserve"> </w:t>
      </w:r>
      <w:r>
        <w:rPr>
          <w:rFonts w:cs="Garamond" w:ascii="Garamond" w:hAnsi="Garamond"/>
          <w:sz w:val="20"/>
          <w:szCs w:val="20"/>
          <w:lang w:val="en-US"/>
        </w:rPr>
        <w:t>R</w:t>
      </w:r>
      <w:r>
        <w:rPr>
          <w:rFonts w:cs="Garamond" w:ascii="Garamond" w:hAnsi="Garamond"/>
          <w:sz w:val="20"/>
          <w:szCs w:val="20"/>
        </w:rPr>
        <w:t>ö</w:t>
      </w:r>
      <w:r>
        <w:rPr>
          <w:rFonts w:cs="Garamond" w:ascii="Garamond" w:hAnsi="Garamond"/>
          <w:sz w:val="20"/>
          <w:szCs w:val="20"/>
          <w:lang w:val="en-US"/>
        </w:rPr>
        <w:t>gl</w:t>
      </w:r>
      <w:r>
        <w:rPr>
          <w:rFonts w:cs="Garamond" w:ascii="Garamond" w:hAnsi="Garamond"/>
          <w:sz w:val="20"/>
          <w:szCs w:val="20"/>
        </w:rPr>
        <w:t xml:space="preserve">, </w:t>
      </w:r>
      <w:r>
        <w:rPr>
          <w:rFonts w:cs="Garamond" w:ascii="Garamond" w:hAnsi="Garamond"/>
          <w:sz w:val="20"/>
          <w:szCs w:val="20"/>
          <w:lang w:val="en-US"/>
        </w:rPr>
        <w:t>Steininger</w:t>
      </w:r>
      <w:r>
        <w:rPr>
          <w:rFonts w:cs="Garamond" w:ascii="Garamond" w:hAnsi="Garamond"/>
          <w:sz w:val="20"/>
          <w:szCs w:val="20"/>
        </w:rPr>
        <w:t>, 1983]).</w:t>
      </w:r>
    </w:p>
  </w:footnote>
  <w:footnote w:id="4">
    <w:p>
      <w:pPr>
        <w:pStyle w:val="Style28"/>
        <w:ind w:end="-31" w:hanging="0"/>
        <w:jc w:val="both"/>
        <w:rPr>
          <w:rFonts w:ascii="Garamond" w:hAnsi="Garamond" w:cs="Garamond"/>
          <w:sz w:val="20"/>
          <w:szCs w:val="20"/>
          <w:u w:val="single"/>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 xml:space="preserve">По некоторым расчетам, с окончательным закрытием упомянутых проливов море только за первые полторы тысячи лет, геологически мгновенно, опустилось на 1500 м [Монин, Шишков, 1979; ср.: </w:t>
      </w:r>
      <w:r>
        <w:rPr>
          <w:rFonts w:cs="Garamond" w:ascii="Garamond" w:hAnsi="Garamond"/>
          <w:sz w:val="20"/>
          <w:szCs w:val="20"/>
          <w:lang w:val="en-US"/>
        </w:rPr>
        <w:t>Rouchy</w:t>
      </w:r>
      <w:r>
        <w:rPr>
          <w:rFonts w:cs="Garamond" w:ascii="Garamond" w:hAnsi="Garamond"/>
          <w:sz w:val="20"/>
          <w:szCs w:val="20"/>
        </w:rPr>
        <w:t xml:space="preserve">, </w:t>
      </w:r>
      <w:r>
        <w:rPr>
          <w:rFonts w:cs="Garamond" w:ascii="Garamond" w:hAnsi="Garamond"/>
          <w:sz w:val="20"/>
          <w:szCs w:val="20"/>
          <w:lang w:val="en-US"/>
        </w:rPr>
        <w:t>Caruso</w:t>
      </w:r>
      <w:r>
        <w:rPr>
          <w:rFonts w:cs="Garamond" w:ascii="Garamond" w:hAnsi="Garamond"/>
          <w:sz w:val="20"/>
          <w:szCs w:val="20"/>
        </w:rPr>
        <w:t>, 2006].</w:t>
      </w:r>
    </w:p>
  </w:footnote>
  <w:footnote w:id="5">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 xml:space="preserve">Обнаружен советским геологом И. С. Чумаковым при разведочных бурениях нильского ложа перед строительством Высотной Асуанской плотины [Чумаков, 1967; </w:t>
      </w:r>
      <w:r>
        <w:rPr>
          <w:rFonts w:cs="Garamond" w:ascii="Garamond" w:hAnsi="Garamond"/>
          <w:iCs/>
          <w:sz w:val="20"/>
          <w:szCs w:val="20"/>
          <w:lang w:val="en-US"/>
        </w:rPr>
        <w:t>Chumakov</w:t>
      </w:r>
      <w:r>
        <w:rPr>
          <w:rFonts w:cs="Garamond" w:ascii="Garamond" w:hAnsi="Garamond"/>
          <w:sz w:val="20"/>
          <w:szCs w:val="20"/>
        </w:rPr>
        <w:t>, 1973; см. также: Маловицкий и др., 1982].</w:t>
      </w:r>
    </w:p>
  </w:footnote>
  <w:footnote w:id="6">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По предварительным оценкам Р. Саида, дно эонильского каньона у Асуана пролегало почти на 200 м ниже современного уровня моря, в районе Каира</w:t>
      </w:r>
      <w:r>
        <w:rPr>
          <w:rFonts w:cs="Garamond" w:ascii="Garamond" w:hAnsi="Garamond"/>
          <w:sz w:val="20"/>
          <w:szCs w:val="20"/>
          <w:lang w:val="en-US"/>
        </w:rPr>
        <w:t> </w:t>
      </w:r>
      <w:r>
        <w:rPr>
          <w:rFonts w:cs="Garamond" w:ascii="Garamond" w:hAnsi="Garamond"/>
          <w:sz w:val="20"/>
          <w:szCs w:val="20"/>
        </w:rPr>
        <w:t>— более чем на 500 м, предельная же абсолютная глубина достигала 2,5 км [</w:t>
      </w:r>
      <w:r>
        <w:rPr>
          <w:rFonts w:cs="Garamond" w:ascii="Garamond" w:hAnsi="Garamond"/>
          <w:sz w:val="20"/>
          <w:szCs w:val="20"/>
          <w:lang w:val="en-US"/>
        </w:rPr>
        <w:t>Said</w:t>
      </w:r>
      <w:r>
        <w:rPr>
          <w:rFonts w:cs="Garamond" w:ascii="Garamond" w:hAnsi="Garamond"/>
          <w:sz w:val="20"/>
          <w:szCs w:val="20"/>
        </w:rPr>
        <w:t>, 1976; 1981].</w:t>
      </w:r>
      <w:r>
        <w:rPr>
          <w:rFonts w:cs="Garamond" w:ascii="Garamond" w:hAnsi="Garamond"/>
          <w:b/>
          <w:sz w:val="20"/>
          <w:szCs w:val="20"/>
        </w:rPr>
        <w:t xml:space="preserve"> </w:t>
      </w:r>
      <w:r>
        <w:rPr>
          <w:rFonts w:cs="Garamond" w:ascii="Garamond" w:hAnsi="Garamond"/>
          <w:sz w:val="20"/>
          <w:szCs w:val="20"/>
        </w:rPr>
        <w:t>По его же позднейшим выкладкам на основе комплекса скважинных, сейсмических и гравиметрических данных, глубина каньона относительно уровня моря составляла 170 м у Асуана, 800 м у Асиута, 2500 м в районе Каира, где действовал крупный водопад, и 4000 м у северного края Дельты [</w:t>
      </w:r>
      <w:r>
        <w:rPr>
          <w:rFonts w:cs="Garamond" w:ascii="Garamond" w:hAnsi="Garamond"/>
          <w:sz w:val="20"/>
          <w:szCs w:val="20"/>
          <w:lang w:val="en-US"/>
        </w:rPr>
        <w:t>Said</w:t>
      </w:r>
      <w:r>
        <w:rPr>
          <w:rFonts w:cs="Garamond" w:ascii="Garamond" w:hAnsi="Garamond"/>
          <w:sz w:val="20"/>
          <w:szCs w:val="20"/>
        </w:rPr>
        <w:t>, 1993].</w:t>
      </w:r>
    </w:p>
  </w:footnote>
  <w:footnote w:id="7">
    <w:p>
      <w:pPr>
        <w:pStyle w:val="Normal"/>
        <w:ind w:end="-31" w:hanging="0"/>
        <w:jc w:val="both"/>
        <w:rPr/>
      </w:pPr>
      <w:r>
        <w:rPr>
          <w:rStyle w:val="Style14"/>
        </w:rPr>
        <w:footnoteRef/>
      </w:r>
      <w:r>
        <w:rPr>
          <w:rFonts w:eastAsia="Garamond" w:cs="Garamond" w:ascii="Garamond" w:hAnsi="Garamond"/>
        </w:rPr>
        <w:tab/>
        <w:t xml:space="preserve"> </w:t>
      </w:r>
      <w:r>
        <w:rPr>
          <w:rFonts w:cs="Garamond" w:ascii="Garamond" w:hAnsi="Garamond"/>
        </w:rPr>
        <w:t>Согласно геофизическим реконструкциям, имело вид чудовищного водопада высотой не менее 800 м с</w:t>
      </w:r>
      <w:r>
        <w:rPr>
          <w:rFonts w:cs="Garamond" w:ascii="Garamond" w:hAnsi="Garamond"/>
          <w:lang w:val="en-US"/>
        </w:rPr>
        <w:t> </w:t>
      </w:r>
      <w:r>
        <w:rPr>
          <w:rFonts w:cs="Garamond" w:ascii="Garamond" w:hAnsi="Garamond"/>
        </w:rPr>
        <w:t>расходом в 400–500 Амазонок, который, снеся скальную перемычку у Гибралтара (вероятно, не без помощи сильного землетрясения), обрушился в средиземноморский резервуар, где вода могла прибывать с невиданной скоростью свыше 10 м в сутки (т. н. Занклийский потоп) (см., например: [</w:t>
      </w:r>
      <w:r>
        <w:rPr>
          <w:rFonts w:cs="Garamond" w:ascii="Garamond" w:hAnsi="Garamond"/>
          <w:lang w:val="en-US"/>
        </w:rPr>
        <w:t>Garcia</w:t>
      </w:r>
      <w:r>
        <w:rPr>
          <w:rFonts w:cs="Garamond" w:ascii="Garamond" w:hAnsi="Garamond"/>
        </w:rPr>
        <w:t>-</w:t>
      </w:r>
      <w:r>
        <w:rPr>
          <w:rFonts w:cs="Garamond" w:ascii="Garamond" w:hAnsi="Garamond"/>
          <w:lang w:val="en-US"/>
        </w:rPr>
        <w:t>Castellanos</w:t>
      </w:r>
      <w:r>
        <w:rPr>
          <w:rFonts w:cs="Garamond" w:ascii="Garamond" w:hAnsi="Garamond"/>
        </w:rPr>
        <w:t xml:space="preserve"> </w:t>
      </w:r>
      <w:r>
        <w:rPr>
          <w:rFonts w:cs="Garamond" w:ascii="Garamond" w:hAnsi="Garamond"/>
          <w:lang w:val="en-US"/>
        </w:rPr>
        <w:t>et</w:t>
      </w:r>
      <w:r>
        <w:rPr>
          <w:rFonts w:cs="Garamond" w:ascii="Garamond" w:hAnsi="Garamond"/>
        </w:rPr>
        <w:t xml:space="preserve"> </w:t>
      </w:r>
      <w:r>
        <w:rPr>
          <w:rFonts w:cs="Garamond" w:ascii="Garamond" w:hAnsi="Garamond"/>
          <w:lang w:val="en-US"/>
        </w:rPr>
        <w:t>al</w:t>
      </w:r>
      <w:r>
        <w:rPr>
          <w:rFonts w:cs="Garamond" w:ascii="Garamond" w:hAnsi="Garamond"/>
        </w:rPr>
        <w:t xml:space="preserve">., 2009; </w:t>
      </w:r>
      <w:r>
        <w:rPr>
          <w:rFonts w:cs="Garamond" w:ascii="Garamond" w:hAnsi="Garamond"/>
          <w:lang w:val="en-US"/>
        </w:rPr>
        <w:t>McKenzie</w:t>
      </w:r>
      <w:r>
        <w:rPr>
          <w:rFonts w:cs="Garamond" w:ascii="Garamond" w:hAnsi="Garamond"/>
        </w:rPr>
        <w:t>,</w:t>
      </w:r>
      <w:r>
        <w:rPr>
          <w:rFonts w:cs="Garamond" w:ascii="Garamond" w:hAnsi="Garamond"/>
          <w:i/>
        </w:rPr>
        <w:t xml:space="preserve"> </w:t>
      </w:r>
      <w:r>
        <w:rPr>
          <w:rFonts w:cs="Garamond" w:ascii="Garamond" w:hAnsi="Garamond"/>
        </w:rPr>
        <w:t>1999]).</w:t>
      </w:r>
    </w:p>
  </w:footnote>
  <w:footnote w:id="8">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К причинам неустойчивости плейстоценовой «протореки», помимо «аридного, с флуктуациями» египетского климата, Р. Саид относил «высокую сейсмическую активность в Египте и Красноморье», сопровождавшуюся прерываниями «прежнего доступа нильской долины к южному водоснабжению» [</w:t>
      </w:r>
      <w:r>
        <w:rPr>
          <w:rFonts w:cs="Garamond" w:ascii="Garamond" w:hAnsi="Garamond"/>
          <w:sz w:val="20"/>
          <w:szCs w:val="20"/>
          <w:lang w:val="en-US"/>
        </w:rPr>
        <w:t>Said</w:t>
      </w:r>
      <w:r>
        <w:rPr>
          <w:rFonts w:cs="Garamond" w:ascii="Garamond" w:hAnsi="Garamond"/>
          <w:sz w:val="20"/>
          <w:szCs w:val="20"/>
        </w:rPr>
        <w:t>, 1976].</w:t>
      </w:r>
    </w:p>
  </w:footnote>
  <w:footnote w:id="9">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Западная ветвь Восточно-Африканского разлома (рифтовой долины), содержащая озера Танганьика, Киву, Эдуард, Альберт и др. Восточную ветвь с озером Рудольф (Туркана) называют Кенийским рифтом (он же Грегори). В их развилке лежит озеро Виктория.</w:t>
      </w:r>
    </w:p>
  </w:footnote>
  <w:footnote w:id="10">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С ним соотносятся найденные П. Бовье-Лапьером в 1920 г. близ Каира ашельские орудия, впервые археологически удостоверившие присутствие человека на Реке уже в нижнем палеолите [</w:t>
      </w:r>
      <w:r>
        <w:rPr>
          <w:rFonts w:cs="Garamond" w:ascii="Garamond" w:hAnsi="Garamond"/>
          <w:iCs/>
          <w:sz w:val="20"/>
          <w:szCs w:val="20"/>
          <w:lang w:val="en-US"/>
        </w:rPr>
        <w:t>Bovier</w:t>
      </w:r>
      <w:r>
        <w:rPr>
          <w:rFonts w:cs="Garamond" w:ascii="Garamond" w:hAnsi="Garamond"/>
          <w:iCs/>
          <w:sz w:val="20"/>
          <w:szCs w:val="20"/>
        </w:rPr>
        <w:t>-</w:t>
      </w:r>
      <w:r>
        <w:rPr>
          <w:rFonts w:cs="Garamond" w:ascii="Garamond" w:hAnsi="Garamond"/>
          <w:iCs/>
          <w:sz w:val="20"/>
          <w:szCs w:val="20"/>
          <w:lang w:val="en-US"/>
        </w:rPr>
        <w:t>Lapierre</w:t>
      </w:r>
      <w:r>
        <w:rPr>
          <w:rFonts w:cs="Garamond" w:ascii="Garamond" w:hAnsi="Garamond"/>
          <w:iCs/>
          <w:sz w:val="20"/>
          <w:szCs w:val="20"/>
        </w:rPr>
        <w:t xml:space="preserve">, 1925; </w:t>
      </w:r>
      <w:r>
        <w:rPr>
          <w:rFonts w:cs="Garamond" w:ascii="Garamond" w:hAnsi="Garamond"/>
          <w:sz w:val="20"/>
          <w:szCs w:val="20"/>
          <w:lang w:val="en-US"/>
        </w:rPr>
        <w:t>Sandford</w:t>
      </w:r>
      <w:r>
        <w:rPr>
          <w:rFonts w:cs="Garamond" w:ascii="Garamond" w:hAnsi="Garamond"/>
          <w:sz w:val="20"/>
          <w:szCs w:val="20"/>
        </w:rPr>
        <w:t xml:space="preserve">, </w:t>
      </w:r>
      <w:r>
        <w:rPr>
          <w:rFonts w:cs="Garamond" w:ascii="Garamond" w:hAnsi="Garamond"/>
          <w:sz w:val="20"/>
          <w:szCs w:val="20"/>
          <w:lang w:val="en-US"/>
        </w:rPr>
        <w:t>Arkell</w:t>
      </w:r>
      <w:r>
        <w:rPr>
          <w:rFonts w:cs="Garamond" w:ascii="Garamond" w:hAnsi="Garamond"/>
          <w:sz w:val="20"/>
          <w:szCs w:val="20"/>
        </w:rPr>
        <w:t>, 1929].</w:t>
      </w:r>
    </w:p>
  </w:footnote>
  <w:footnote w:id="11">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Геологи распознавали над современной нильской поймой 30-, 23–25-, 8- и 6-метровую террасы разных «генераций» Неонила [</w:t>
      </w:r>
      <w:r>
        <w:rPr>
          <w:rFonts w:cs="Garamond" w:ascii="Garamond" w:hAnsi="Garamond"/>
          <w:sz w:val="20"/>
          <w:szCs w:val="20"/>
          <w:lang w:val="en-US"/>
        </w:rPr>
        <w:t>Said</w:t>
      </w:r>
      <w:r>
        <w:rPr>
          <w:rFonts w:cs="Garamond" w:ascii="Garamond" w:hAnsi="Garamond"/>
          <w:sz w:val="20"/>
          <w:szCs w:val="20"/>
        </w:rPr>
        <w:t>, 1993].</w:t>
      </w:r>
    </w:p>
  </w:footnote>
  <w:footnote w:id="12">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 xml:space="preserve">Началу голоцена ставится в соответствие ратифицированная Международным союзом геологических наук дата 11700 </w:t>
      </w:r>
      <w:r>
        <w:rPr>
          <w:rFonts w:eastAsia="Symbol" w:cs="Symbol" w:ascii="Symbol" w:hAnsi="Symbol"/>
          <w:sz w:val="20"/>
          <w:szCs w:val="20"/>
        </w:rPr>
        <w:t></w:t>
      </w:r>
      <w:r>
        <w:rPr>
          <w:rFonts w:cs="Garamond" w:ascii="Garamond" w:hAnsi="Garamond"/>
          <w:sz w:val="20"/>
          <w:szCs w:val="20"/>
        </w:rPr>
        <w:t xml:space="preserve"> 99 калибр. л. н. [</w:t>
      </w:r>
      <w:r>
        <w:rPr>
          <w:rFonts w:cs="Garamond" w:ascii="Garamond" w:hAnsi="Garamond"/>
          <w:sz w:val="20"/>
          <w:szCs w:val="20"/>
          <w:lang w:val="en-US"/>
        </w:rPr>
        <w:t>Walker</w:t>
      </w:r>
      <w:r>
        <w:rPr>
          <w:rFonts w:cs="Garamond" w:ascii="Garamond" w:hAnsi="Garamond"/>
          <w:sz w:val="20"/>
          <w:szCs w:val="20"/>
        </w:rPr>
        <w:t xml:space="preserve"> </w:t>
      </w:r>
      <w:r>
        <w:rPr>
          <w:rFonts w:cs="Garamond" w:ascii="Garamond" w:hAnsi="Garamond"/>
          <w:sz w:val="20"/>
          <w:szCs w:val="20"/>
          <w:lang w:val="en-US"/>
        </w:rPr>
        <w:t>et</w:t>
      </w:r>
      <w:r>
        <w:rPr>
          <w:rFonts w:cs="Garamond" w:ascii="Garamond" w:hAnsi="Garamond"/>
          <w:sz w:val="20"/>
          <w:szCs w:val="20"/>
        </w:rPr>
        <w:t xml:space="preserve"> </w:t>
      </w:r>
      <w:r>
        <w:rPr>
          <w:rFonts w:cs="Garamond" w:ascii="Garamond" w:hAnsi="Garamond"/>
          <w:sz w:val="20"/>
          <w:szCs w:val="20"/>
          <w:lang w:val="en-US"/>
        </w:rPr>
        <w:t>al</w:t>
      </w:r>
      <w:r>
        <w:rPr>
          <w:rFonts w:cs="Garamond" w:ascii="Garamond" w:hAnsi="Garamond"/>
          <w:sz w:val="20"/>
          <w:szCs w:val="20"/>
        </w:rPr>
        <w:t>., 2009].</w:t>
      </w:r>
    </w:p>
  </w:footnote>
  <w:footnote w:id="13">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 xml:space="preserve">Египетский неолит датируется </w:t>
      </w:r>
      <w:r>
        <w:rPr>
          <w:rFonts w:cs="Garamond" w:ascii="Garamond" w:hAnsi="Garamond"/>
          <w:sz w:val="20"/>
          <w:szCs w:val="20"/>
          <w:lang w:val="en-US"/>
        </w:rPr>
        <w:t>VI </w:t>
      </w:r>
      <w:r>
        <w:rPr>
          <w:rFonts w:cs="Garamond" w:ascii="Garamond" w:hAnsi="Garamond"/>
          <w:sz w:val="20"/>
          <w:szCs w:val="20"/>
        </w:rPr>
        <w:t xml:space="preserve">— серединой </w:t>
      </w:r>
      <w:r>
        <w:rPr>
          <w:rFonts w:cs="Garamond" w:ascii="Garamond" w:hAnsi="Garamond"/>
          <w:sz w:val="20"/>
          <w:szCs w:val="20"/>
          <w:lang w:val="en-US"/>
        </w:rPr>
        <w:t>IV</w:t>
      </w:r>
      <w:r>
        <w:rPr>
          <w:rFonts w:cs="Garamond" w:ascii="Garamond" w:hAnsi="Garamond"/>
          <w:sz w:val="20"/>
          <w:szCs w:val="20"/>
        </w:rPr>
        <w:t> тыс. до н. э. (см.: [Прусаков, 2009]).</w:t>
      </w:r>
    </w:p>
  </w:footnote>
  <w:footnote w:id="14">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«Согласно исследованиям д-ра Эллиота Смита, даже раса в обоих регионах одинакова. Другими словами, в древнейший период… Египет и Нижняя Нубия, похоже, образовывали культурно и расово одну страну» [</w:t>
      </w:r>
      <w:r>
        <w:rPr>
          <w:rFonts w:cs="Garamond" w:ascii="Garamond" w:hAnsi="Garamond"/>
          <w:sz w:val="20"/>
          <w:szCs w:val="20"/>
          <w:lang w:val="en-US"/>
        </w:rPr>
        <w:t>Reisner</w:t>
      </w:r>
      <w:r>
        <w:rPr>
          <w:rFonts w:cs="Garamond" w:ascii="Garamond" w:hAnsi="Garamond"/>
          <w:sz w:val="20"/>
          <w:szCs w:val="20"/>
        </w:rPr>
        <w:t>, 1910]. Грэфтон Эллиот Смит (1871–1937) — австрало-британский анатом и антрополог (см., например: [</w:t>
      </w:r>
      <w:r>
        <w:rPr>
          <w:rFonts w:cs="Garamond" w:ascii="Garamond" w:hAnsi="Garamond"/>
          <w:sz w:val="20"/>
          <w:szCs w:val="20"/>
          <w:lang w:val="en-US"/>
        </w:rPr>
        <w:t>Smith</w:t>
      </w:r>
      <w:r>
        <w:rPr>
          <w:rFonts w:cs="Garamond" w:ascii="Garamond" w:hAnsi="Garamond"/>
          <w:sz w:val="20"/>
          <w:szCs w:val="20"/>
        </w:rPr>
        <w:t xml:space="preserve">, 1916; 1923]). Ср.: Дробышевский С. В. О расах Древнего Египта и Нубии. </w:t>
      </w:r>
      <w:r>
        <w:rPr>
          <w:rFonts w:cs="Garamond" w:ascii="Garamond" w:hAnsi="Garamond"/>
          <w:i/>
          <w:sz w:val="20"/>
          <w:szCs w:val="20"/>
        </w:rPr>
        <w:t>Антропогенез.ру</w:t>
      </w:r>
      <w:r>
        <w:rPr>
          <w:rFonts w:cs="Garamond" w:ascii="Garamond" w:hAnsi="Garamond"/>
          <w:sz w:val="20"/>
          <w:szCs w:val="20"/>
        </w:rPr>
        <w:t xml:space="preserve">. </w:t>
      </w:r>
      <w:r>
        <w:rPr>
          <w:rFonts w:cs="Garamond" w:ascii="Garamond" w:hAnsi="Garamond"/>
          <w:sz w:val="20"/>
          <w:szCs w:val="20"/>
          <w:lang w:val="en-US"/>
        </w:rPr>
        <w:t>URL</w:t>
      </w:r>
      <w:r>
        <w:rPr>
          <w:rFonts w:cs="Garamond" w:ascii="Garamond" w:hAnsi="Garamond"/>
          <w:sz w:val="20"/>
          <w:szCs w:val="20"/>
        </w:rPr>
        <w:t xml:space="preserve">: </w:t>
      </w:r>
      <w:hyperlink r:id="rId4">
        <w:r>
          <w:rPr>
            <w:rStyle w:val="Style15"/>
            <w:rFonts w:cs="Garamond" w:ascii="Garamond" w:hAnsi="Garamond"/>
            <w:color w:val="000000"/>
            <w:sz w:val="20"/>
            <w:szCs w:val="20"/>
            <w:u w:val="none"/>
          </w:rPr>
          <w:t>http://antropogenez.ru/zveno-single/302/</w:t>
        </w:r>
      </w:hyperlink>
      <w:r>
        <w:rPr>
          <w:rFonts w:cs="Garamond" w:ascii="Garamond" w:hAnsi="Garamond"/>
          <w:sz w:val="20"/>
          <w:szCs w:val="20"/>
        </w:rPr>
        <w:t xml:space="preserve"> (дата обращения 27.09.2019).</w:t>
      </w:r>
    </w:p>
  </w:footnote>
  <w:footnote w:id="15">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 xml:space="preserve">Лишь спустя более чем полтысячелетия, при ранней </w:t>
      </w:r>
      <w:r>
        <w:rPr>
          <w:rFonts w:cs="Garamond" w:ascii="Garamond" w:hAnsi="Garamond"/>
          <w:sz w:val="20"/>
          <w:szCs w:val="20"/>
          <w:lang w:val="en-US"/>
        </w:rPr>
        <w:t>VI</w:t>
      </w:r>
      <w:r>
        <w:rPr>
          <w:rFonts w:cs="Garamond" w:ascii="Garamond" w:hAnsi="Garamond"/>
          <w:sz w:val="20"/>
          <w:szCs w:val="20"/>
        </w:rPr>
        <w:t xml:space="preserve"> династии, на смену Группе А к югу от 1-го порога пришли «чифдомы» земледельческо-скотоводческой культуры Группы С, известные из староегипетских источников как «негры» (или «кушиты») </w:t>
      </w:r>
      <w:r>
        <w:rPr>
          <w:rFonts w:cs="Transliteration" w:ascii="Transliteration" w:hAnsi="Transliteration"/>
          <w:sz w:val="16"/>
          <w:szCs w:val="16"/>
        </w:rPr>
        <w:t>irT.t</w:t>
      </w:r>
      <w:r>
        <w:rPr>
          <w:rFonts w:cs="Garamond" w:ascii="Garamond" w:hAnsi="Garamond"/>
          <w:sz w:val="20"/>
          <w:szCs w:val="20"/>
        </w:rPr>
        <w:t xml:space="preserve">, </w:t>
      </w:r>
      <w:r>
        <w:rPr>
          <w:rFonts w:cs="Transliteration" w:ascii="Transliteration" w:hAnsi="Transliteration"/>
          <w:sz w:val="16"/>
          <w:szCs w:val="16"/>
        </w:rPr>
        <w:t>wAwA.t</w:t>
      </w:r>
      <w:r>
        <w:rPr>
          <w:rFonts w:cs="Garamond" w:ascii="Garamond" w:hAnsi="Garamond"/>
          <w:sz w:val="20"/>
          <w:szCs w:val="20"/>
        </w:rPr>
        <w:t xml:space="preserve"> и др. [</w:t>
      </w:r>
      <w:r>
        <w:rPr>
          <w:rFonts w:cs="Garamond" w:ascii="Garamond" w:hAnsi="Garamond"/>
          <w:sz w:val="20"/>
          <w:szCs w:val="20"/>
          <w:lang w:val="en-US"/>
        </w:rPr>
        <w:t>Reisner</w:t>
      </w:r>
      <w:r>
        <w:rPr>
          <w:rFonts w:cs="Garamond" w:ascii="Garamond" w:hAnsi="Garamond"/>
          <w:sz w:val="20"/>
          <w:szCs w:val="20"/>
        </w:rPr>
        <w:t xml:space="preserve">, 1910; </w:t>
      </w:r>
      <w:r>
        <w:rPr>
          <w:rFonts w:cs="Garamond" w:ascii="Garamond" w:hAnsi="Garamond"/>
          <w:sz w:val="20"/>
          <w:szCs w:val="20"/>
          <w:lang w:val="en-US"/>
        </w:rPr>
        <w:t>Bietak</w:t>
      </w:r>
      <w:r>
        <w:rPr>
          <w:rFonts w:cs="Garamond" w:ascii="Garamond" w:hAnsi="Garamond"/>
          <w:sz w:val="20"/>
          <w:szCs w:val="20"/>
        </w:rPr>
        <w:t xml:space="preserve">, 1968; </w:t>
      </w:r>
      <w:r>
        <w:rPr>
          <w:rFonts w:cs="Garamond" w:ascii="Garamond" w:hAnsi="Garamond"/>
          <w:sz w:val="20"/>
          <w:szCs w:val="20"/>
          <w:lang w:val="en-US"/>
        </w:rPr>
        <w:t>T</w:t>
      </w:r>
      <w:r>
        <w:rPr>
          <w:rFonts w:cs="Garamond" w:ascii="Garamond" w:hAnsi="Garamond"/>
          <w:sz w:val="20"/>
          <w:szCs w:val="20"/>
        </w:rPr>
        <w:t>ö</w:t>
      </w:r>
      <w:r>
        <w:rPr>
          <w:rFonts w:cs="Garamond" w:ascii="Garamond" w:hAnsi="Garamond"/>
          <w:sz w:val="20"/>
          <w:szCs w:val="20"/>
          <w:lang w:val="en-US"/>
        </w:rPr>
        <w:t>r</w:t>
      </w:r>
      <w:r>
        <w:rPr>
          <w:rFonts w:cs="Garamond" w:ascii="Garamond" w:hAnsi="Garamond"/>
          <w:sz w:val="20"/>
          <w:szCs w:val="20"/>
        </w:rPr>
        <w:t>ö</w:t>
      </w:r>
      <w:r>
        <w:rPr>
          <w:rFonts w:cs="Garamond" w:ascii="Garamond" w:hAnsi="Garamond"/>
          <w:sz w:val="20"/>
          <w:szCs w:val="20"/>
          <w:lang w:val="en-US"/>
        </w:rPr>
        <w:t>k</w:t>
      </w:r>
      <w:r>
        <w:rPr>
          <w:rFonts w:cs="Garamond" w:ascii="Garamond" w:hAnsi="Garamond"/>
          <w:sz w:val="20"/>
          <w:szCs w:val="20"/>
        </w:rPr>
        <w:t>, 2009; Urk. I, 101].</w:t>
      </w:r>
    </w:p>
  </w:footnote>
  <w:footnote w:id="16">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«Не этот ли новый поворот событий нашел отражение в наскальных рисунках Гебель Шейх Сулейман?» [</w:t>
      </w:r>
      <w:r>
        <w:rPr>
          <w:rFonts w:cs="Garamond" w:ascii="Garamond" w:hAnsi="Garamond"/>
          <w:sz w:val="20"/>
          <w:szCs w:val="20"/>
          <w:lang w:val="en-US"/>
        </w:rPr>
        <w:t>Midant</w:t>
      </w:r>
      <w:r>
        <w:rPr>
          <w:rFonts w:cs="Garamond" w:ascii="Garamond" w:hAnsi="Garamond"/>
          <w:sz w:val="20"/>
          <w:szCs w:val="20"/>
        </w:rPr>
        <w:t>-</w:t>
      </w:r>
      <w:r>
        <w:rPr>
          <w:rFonts w:cs="Garamond" w:ascii="Garamond" w:hAnsi="Garamond"/>
          <w:sz w:val="20"/>
          <w:szCs w:val="20"/>
          <w:lang w:val="en-US"/>
        </w:rPr>
        <w:t>Reynes</w:t>
      </w:r>
      <w:r>
        <w:rPr>
          <w:rFonts w:cs="Garamond" w:ascii="Garamond" w:hAnsi="Garamond"/>
          <w:sz w:val="20"/>
          <w:szCs w:val="20"/>
        </w:rPr>
        <w:t>, 2000].</w:t>
      </w:r>
    </w:p>
  </w:footnote>
  <w:footnote w:id="17">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См.: [</w:t>
      </w:r>
      <w:r>
        <w:rPr>
          <w:rFonts w:cs="Garamond" w:ascii="Garamond" w:hAnsi="Garamond"/>
          <w:sz w:val="20"/>
          <w:szCs w:val="20"/>
          <w:lang w:val="en-US"/>
        </w:rPr>
        <w:t>Vinogradov</w:t>
      </w:r>
      <w:r>
        <w:rPr>
          <w:rFonts w:cs="Garamond" w:ascii="Garamond" w:hAnsi="Garamond"/>
          <w:sz w:val="20"/>
          <w:szCs w:val="20"/>
        </w:rPr>
        <w:t>, 2000].</w:t>
      </w:r>
    </w:p>
  </w:footnote>
  <w:footnote w:id="18">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См. далее в Части </w:t>
      </w:r>
      <w:r>
        <w:rPr>
          <w:rFonts w:cs="Garamond" w:ascii="Garamond" w:hAnsi="Garamond"/>
          <w:sz w:val="20"/>
          <w:szCs w:val="20"/>
          <w:lang w:val="en-US"/>
        </w:rPr>
        <w:t>III</w:t>
      </w:r>
      <w:r>
        <w:rPr>
          <w:rFonts w:cs="Garamond" w:ascii="Garamond" w:hAnsi="Garamond"/>
          <w:sz w:val="20"/>
          <w:szCs w:val="20"/>
        </w:rPr>
        <w:t xml:space="preserve"> данной статьи, которая будет опубликована в следующих номерах журнала «Вестник Института востоковедения РАН».</w:t>
      </w:r>
    </w:p>
  </w:footnote>
  <w:footnote w:id="19">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См. илл. 4   в: [Прусаков, 2019а].</w:t>
      </w:r>
    </w:p>
  </w:footnote>
  <w:footnote w:id="20">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В 1963 г. перевезены в Национальный музей Судана в Хартуме [</w:t>
      </w:r>
      <w:r>
        <w:rPr>
          <w:rFonts w:cs="Garamond" w:ascii="Garamond" w:hAnsi="Garamond"/>
          <w:sz w:val="20"/>
          <w:szCs w:val="20"/>
          <w:lang w:val="en-US"/>
        </w:rPr>
        <w:t>Hinkel</w:t>
      </w:r>
      <w:r>
        <w:rPr>
          <w:rFonts w:cs="Garamond" w:ascii="Garamond" w:hAnsi="Garamond"/>
          <w:sz w:val="20"/>
          <w:szCs w:val="20"/>
        </w:rPr>
        <w:t>, 1965].</w:t>
      </w:r>
    </w:p>
  </w:footnote>
  <w:footnote w:id="21">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 xml:space="preserve">Поначалу их датировали даже </w:t>
      </w:r>
      <w:r>
        <w:rPr>
          <w:rFonts w:cs="Garamond" w:ascii="Garamond" w:hAnsi="Garamond"/>
          <w:sz w:val="20"/>
          <w:szCs w:val="20"/>
          <w:lang w:val="en-US"/>
        </w:rPr>
        <w:t>XI</w:t>
      </w:r>
      <w:r>
        <w:rPr>
          <w:rFonts w:cs="Garamond" w:ascii="Garamond" w:hAnsi="Garamond"/>
          <w:sz w:val="20"/>
          <w:szCs w:val="20"/>
        </w:rPr>
        <w:t xml:space="preserve"> династией [</w:t>
      </w:r>
      <w:r>
        <w:rPr>
          <w:rFonts w:cs="Garamond" w:ascii="Garamond" w:hAnsi="Garamond"/>
          <w:sz w:val="20"/>
          <w:szCs w:val="20"/>
          <w:lang w:val="en-US"/>
        </w:rPr>
        <w:t>Sayce</w:t>
      </w:r>
      <w:r>
        <w:rPr>
          <w:rFonts w:cs="Garamond" w:ascii="Garamond" w:hAnsi="Garamond"/>
          <w:sz w:val="20"/>
          <w:szCs w:val="20"/>
        </w:rPr>
        <w:t>, 1910].</w:t>
      </w:r>
    </w:p>
  </w:footnote>
  <w:footnote w:id="22">
    <w:p>
      <w:pPr>
        <w:pStyle w:val="Style28"/>
        <w:ind w:end="-31" w:hanging="0"/>
        <w:jc w:val="both"/>
        <w:rPr/>
      </w:pPr>
      <w:r>
        <w:rPr>
          <w:rStyle w:val="Style14"/>
        </w:rPr>
        <w:footnoteRef/>
      </w:r>
      <w:r>
        <w:rPr>
          <w:rFonts w:eastAsia="Garamond" w:cs="Garamond" w:ascii="Garamond" w:hAnsi="Garamond"/>
          <w:sz w:val="20"/>
          <w:szCs w:val="20"/>
          <w:lang w:val="de-DE"/>
        </w:rPr>
        <w:tab/>
        <w:t xml:space="preserve"> </w:t>
      </w:r>
      <w:r>
        <w:rPr>
          <w:rFonts w:cs="Garamond" w:ascii="Garamond" w:hAnsi="Garamond"/>
          <w:sz w:val="20"/>
          <w:szCs w:val="20"/>
        </w:rPr>
        <w:t>См</w:t>
      </w:r>
      <w:r>
        <w:rPr>
          <w:rFonts w:cs="Garamond" w:ascii="Garamond" w:hAnsi="Garamond"/>
          <w:sz w:val="20"/>
          <w:szCs w:val="20"/>
          <w:lang w:val="de-DE"/>
        </w:rPr>
        <w:t xml:space="preserve">.: Williams B., Kleinitz C., Reshetnikova N., Unhammer O. </w:t>
      </w:r>
      <w:r>
        <w:rPr>
          <w:rFonts w:cs="Garamond" w:ascii="Garamond" w:hAnsi="Garamond"/>
          <w:i/>
          <w:sz w:val="20"/>
          <w:szCs w:val="20"/>
          <w:lang w:val="de-DE"/>
        </w:rPr>
        <w:t>The Gebel Sheikh Suleiman Monument</w:t>
      </w:r>
      <w:r>
        <w:rPr>
          <w:rFonts w:cs="Garamond" w:ascii="Garamond" w:hAnsi="Garamond"/>
          <w:sz w:val="20"/>
          <w:szCs w:val="20"/>
          <w:lang w:val="de-DE"/>
        </w:rPr>
        <w:t xml:space="preserve">. </w:t>
      </w:r>
      <w:r>
        <w:rPr>
          <w:rFonts w:cs="Garamond" w:ascii="Garamond" w:hAnsi="Garamond"/>
          <w:sz w:val="20"/>
          <w:szCs w:val="20"/>
          <w:lang w:val="en-US"/>
        </w:rPr>
        <w:t>URL</w:t>
      </w:r>
      <w:r>
        <w:rPr>
          <w:rFonts w:cs="Garamond" w:ascii="Garamond" w:hAnsi="Garamond"/>
          <w:sz w:val="20"/>
          <w:szCs w:val="20"/>
        </w:rPr>
        <w:t xml:space="preserve">: </w:t>
      </w:r>
      <w:hyperlink r:id="rId5">
        <w:r>
          <w:rPr>
            <w:rStyle w:val="Style15"/>
            <w:rFonts w:cs="Garamond" w:ascii="Garamond" w:hAnsi="Garamond"/>
            <w:color w:val="000000"/>
            <w:sz w:val="20"/>
            <w:szCs w:val="20"/>
            <w:u w:val="none"/>
            <w:lang w:val="en-US"/>
          </w:rPr>
          <w:t>https</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www</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academia</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edu</w:t>
        </w:r>
        <w:r>
          <w:rPr>
            <w:rStyle w:val="Style15"/>
            <w:rFonts w:cs="Garamond" w:ascii="Garamond" w:hAnsi="Garamond"/>
            <w:color w:val="000000"/>
            <w:sz w:val="20"/>
            <w:szCs w:val="20"/>
            <w:u w:val="none"/>
          </w:rPr>
          <w:t>/34223600/</w:t>
        </w:r>
        <w:r>
          <w:rPr>
            <w:rStyle w:val="Style15"/>
            <w:rFonts w:cs="Garamond" w:ascii="Garamond" w:hAnsi="Garamond"/>
            <w:color w:val="000000"/>
            <w:sz w:val="20"/>
            <w:szCs w:val="20"/>
            <w:u w:val="none"/>
            <w:lang w:val="en-US"/>
          </w:rPr>
          <w:t>The</w:t>
        </w:r>
        <w:r>
          <w:rPr>
            <w:rStyle w:val="Style15"/>
            <w:rFonts w:cs="Garamond" w:ascii="Garamond" w:hAnsi="Garamond"/>
            <w:color w:val="000000"/>
            <w:sz w:val="20"/>
            <w:szCs w:val="20"/>
            <w:u w:val="none"/>
          </w:rPr>
          <w:t>_</w:t>
        </w:r>
        <w:r>
          <w:rPr>
            <w:rStyle w:val="Style15"/>
            <w:rFonts w:cs="Garamond" w:ascii="Garamond" w:hAnsi="Garamond"/>
            <w:color w:val="000000"/>
            <w:sz w:val="20"/>
            <w:szCs w:val="20"/>
            <w:u w:val="none"/>
            <w:lang w:val="en-US"/>
          </w:rPr>
          <w:t>Gebel</w:t>
        </w:r>
        <w:r>
          <w:rPr>
            <w:rStyle w:val="Style15"/>
            <w:rFonts w:cs="Garamond" w:ascii="Garamond" w:hAnsi="Garamond"/>
            <w:color w:val="000000"/>
            <w:sz w:val="20"/>
            <w:szCs w:val="20"/>
            <w:u w:val="none"/>
          </w:rPr>
          <w:t>_</w:t>
        </w:r>
        <w:r>
          <w:rPr>
            <w:rStyle w:val="Style15"/>
            <w:rFonts w:cs="Garamond" w:ascii="Garamond" w:hAnsi="Garamond"/>
            <w:color w:val="000000"/>
            <w:sz w:val="20"/>
            <w:szCs w:val="20"/>
            <w:u w:val="none"/>
            <w:lang w:val="en-US"/>
          </w:rPr>
          <w:t>Sheikh</w:t>
        </w:r>
        <w:r>
          <w:rPr>
            <w:rStyle w:val="Style15"/>
            <w:rFonts w:cs="Garamond" w:ascii="Garamond" w:hAnsi="Garamond"/>
            <w:color w:val="000000"/>
            <w:sz w:val="20"/>
            <w:szCs w:val="20"/>
            <w:u w:val="none"/>
          </w:rPr>
          <w:t>_</w:t>
        </w:r>
        <w:r>
          <w:rPr>
            <w:rStyle w:val="Style15"/>
            <w:rFonts w:cs="Garamond" w:ascii="Garamond" w:hAnsi="Garamond"/>
            <w:color w:val="000000"/>
            <w:sz w:val="20"/>
            <w:szCs w:val="20"/>
            <w:u w:val="none"/>
            <w:lang w:val="en-US"/>
          </w:rPr>
          <w:t>Suleiman</w:t>
        </w:r>
        <w:r>
          <w:rPr>
            <w:rStyle w:val="Style15"/>
            <w:rFonts w:cs="Garamond" w:ascii="Garamond" w:hAnsi="Garamond"/>
            <w:color w:val="000000"/>
            <w:sz w:val="20"/>
            <w:szCs w:val="20"/>
            <w:u w:val="none"/>
          </w:rPr>
          <w:t>_</w:t>
        </w:r>
        <w:r>
          <w:rPr>
            <w:rStyle w:val="Style15"/>
            <w:rFonts w:cs="Garamond" w:ascii="Garamond" w:hAnsi="Garamond"/>
            <w:color w:val="000000"/>
            <w:sz w:val="20"/>
            <w:szCs w:val="20"/>
            <w:u w:val="none"/>
            <w:lang w:val="en-US"/>
          </w:rPr>
          <w:t>Monument</w:t>
        </w:r>
      </w:hyperlink>
      <w:r>
        <w:rPr>
          <w:rFonts w:cs="Garamond" w:ascii="Garamond" w:hAnsi="Garamond"/>
          <w:sz w:val="20"/>
          <w:szCs w:val="20"/>
        </w:rPr>
        <w:t xml:space="preserve"> (дата обращения 06.10.2019).</w:t>
      </w:r>
    </w:p>
  </w:footnote>
  <w:footnote w:id="23">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«Ранним царством» иногда называют архаический (раннединастический) этап истории фараоновского Египта, предшествовавший Древнему (Старому) царству.</w:t>
      </w:r>
    </w:p>
  </w:footnote>
  <w:footnote w:id="24">
    <w:p>
      <w:pPr>
        <w:pStyle w:val="Style28"/>
        <w:ind w:end="-31" w:hanging="0"/>
        <w:jc w:val="both"/>
        <w:rPr>
          <w:rFonts w:ascii="Garamond" w:hAnsi="Garamond" w:cs="Garamond"/>
          <w:sz w:val="20"/>
          <w:szCs w:val="20"/>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 xml:space="preserve">Или </w:t>
      </w:r>
      <w:r>
        <w:rPr>
          <w:rFonts w:cs="Garamond" w:ascii="Garamond" w:hAnsi="Garamond"/>
          <w:spacing w:val="-3"/>
          <w:sz w:val="20"/>
          <w:szCs w:val="20"/>
        </w:rPr>
        <w:t>4500 некалибр. л. н. ≈ 3221 г. до н. э. [</w:t>
      </w:r>
      <w:r>
        <w:rPr>
          <w:rFonts w:cs="Garamond" w:ascii="Garamond" w:hAnsi="Garamond"/>
          <w:sz w:val="20"/>
          <w:szCs w:val="20"/>
          <w:lang w:val="en-US"/>
        </w:rPr>
        <w:t>Williams</w:t>
      </w:r>
      <w:r>
        <w:rPr>
          <w:rFonts w:cs="Garamond" w:ascii="Garamond" w:hAnsi="Garamond"/>
          <w:sz w:val="20"/>
          <w:szCs w:val="20"/>
        </w:rPr>
        <w:t xml:space="preserve"> </w:t>
      </w:r>
      <w:r>
        <w:rPr>
          <w:rFonts w:cs="Garamond" w:ascii="Garamond" w:hAnsi="Garamond"/>
          <w:sz w:val="20"/>
          <w:szCs w:val="20"/>
          <w:lang w:val="en-US"/>
        </w:rPr>
        <w:t>et</w:t>
      </w:r>
      <w:r>
        <w:rPr>
          <w:rFonts w:cs="Garamond" w:ascii="Garamond" w:hAnsi="Garamond"/>
          <w:sz w:val="20"/>
          <w:szCs w:val="20"/>
        </w:rPr>
        <w:t xml:space="preserve"> </w:t>
      </w:r>
      <w:r>
        <w:rPr>
          <w:rFonts w:cs="Garamond" w:ascii="Garamond" w:hAnsi="Garamond"/>
          <w:sz w:val="20"/>
          <w:szCs w:val="20"/>
          <w:lang w:val="en-US"/>
        </w:rPr>
        <w:t>al</w:t>
      </w:r>
      <w:r>
        <w:rPr>
          <w:rFonts w:cs="Garamond" w:ascii="Garamond" w:hAnsi="Garamond"/>
          <w:sz w:val="20"/>
          <w:szCs w:val="20"/>
        </w:rPr>
        <w:t>., 2010</w:t>
      </w:r>
      <w:r>
        <w:rPr>
          <w:rFonts w:cs="Garamond" w:ascii="Garamond" w:hAnsi="Garamond"/>
          <w:spacing w:val="-3"/>
          <w:sz w:val="20"/>
          <w:szCs w:val="20"/>
        </w:rPr>
        <w:t>].</w:t>
      </w:r>
    </w:p>
  </w:footnote>
  <w:footnote w:id="25">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Ср.: [</w:t>
      </w:r>
      <w:r>
        <w:rPr>
          <w:rFonts w:cs="Garamond" w:ascii="Garamond" w:hAnsi="Garamond"/>
          <w:sz w:val="20"/>
          <w:szCs w:val="20"/>
          <w:lang w:val="en-US"/>
        </w:rPr>
        <w:t>Helck</w:t>
      </w:r>
      <w:r>
        <w:rPr>
          <w:rFonts w:cs="Garamond" w:ascii="Garamond" w:hAnsi="Garamond"/>
          <w:sz w:val="20"/>
          <w:szCs w:val="20"/>
        </w:rPr>
        <w:t xml:space="preserve">, 1966]. </w:t>
      </w:r>
    </w:p>
  </w:footnote>
  <w:footnote w:id="26">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См., например: [</w:t>
      </w:r>
      <w:r>
        <w:rPr>
          <w:rFonts w:cs="Garamond" w:ascii="Garamond" w:hAnsi="Garamond"/>
          <w:sz w:val="20"/>
          <w:szCs w:val="20"/>
          <w:lang w:val="en-US"/>
        </w:rPr>
        <w:t>Emery</w:t>
      </w:r>
      <w:r>
        <w:rPr>
          <w:rFonts w:cs="Garamond" w:ascii="Garamond" w:hAnsi="Garamond"/>
          <w:sz w:val="20"/>
          <w:szCs w:val="20"/>
        </w:rPr>
        <w:t xml:space="preserve">, 1961; </w:t>
      </w:r>
      <w:r>
        <w:rPr>
          <w:rFonts w:cs="Garamond" w:ascii="Garamond" w:hAnsi="Garamond"/>
          <w:sz w:val="20"/>
          <w:szCs w:val="20"/>
          <w:lang w:val="en-US"/>
        </w:rPr>
        <w:t>Gardiner</w:t>
      </w:r>
      <w:r>
        <w:rPr>
          <w:rFonts w:cs="Garamond" w:ascii="Garamond" w:hAnsi="Garamond"/>
          <w:sz w:val="20"/>
          <w:szCs w:val="20"/>
        </w:rPr>
        <w:t>, 1961].</w:t>
      </w:r>
    </w:p>
  </w:footnote>
  <w:footnote w:id="27">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В результате активной древней камнедобычи (см.: [</w:t>
      </w:r>
      <w:r>
        <w:rPr>
          <w:rFonts w:cs="Garamond" w:ascii="Garamond" w:hAnsi="Garamond"/>
          <w:sz w:val="20"/>
          <w:szCs w:val="20"/>
          <w:lang w:val="en-US"/>
        </w:rPr>
        <w:t>Bloxam</w:t>
      </w:r>
      <w:r>
        <w:rPr>
          <w:rFonts w:cs="Garamond" w:ascii="Garamond" w:hAnsi="Garamond"/>
          <w:sz w:val="20"/>
          <w:szCs w:val="20"/>
        </w:rPr>
        <w:t xml:space="preserve">, </w:t>
      </w:r>
      <w:r>
        <w:rPr>
          <w:rFonts w:cs="Garamond" w:ascii="Garamond" w:hAnsi="Garamond"/>
          <w:sz w:val="20"/>
          <w:szCs w:val="20"/>
          <w:lang w:val="en-US"/>
        </w:rPr>
        <w:t>Heldal</w:t>
      </w:r>
      <w:r>
        <w:rPr>
          <w:rFonts w:cs="Garamond" w:ascii="Garamond" w:hAnsi="Garamond"/>
          <w:sz w:val="20"/>
          <w:szCs w:val="20"/>
        </w:rPr>
        <w:t xml:space="preserve">, </w:t>
      </w:r>
      <w:r>
        <w:rPr>
          <w:rFonts w:cs="Garamond" w:ascii="Garamond" w:hAnsi="Garamond"/>
          <w:sz w:val="20"/>
          <w:szCs w:val="20"/>
          <w:lang w:val="en-US"/>
        </w:rPr>
        <w:t>Storemyr</w:t>
      </w:r>
      <w:r>
        <w:rPr>
          <w:rFonts w:cs="Garamond" w:ascii="Garamond" w:hAnsi="Garamond"/>
          <w:sz w:val="20"/>
          <w:szCs w:val="20"/>
        </w:rPr>
        <w:t>, 2007]).</w:t>
      </w:r>
    </w:p>
  </w:footnote>
  <w:footnote w:id="28">
    <w:p>
      <w:pPr>
        <w:pStyle w:val="Style28"/>
        <w:ind w:end="-31" w:hanging="0"/>
        <w:jc w:val="both"/>
        <w:rPr/>
      </w:pPr>
      <w:r>
        <w:rPr>
          <w:rStyle w:val="Style14"/>
        </w:rPr>
        <w:footnoteRef/>
      </w:r>
      <w:r>
        <w:rPr>
          <w:rFonts w:eastAsia="Garamond" w:cs="Garamond" w:ascii="Garamond" w:hAnsi="Garamond"/>
          <w:sz w:val="20"/>
          <w:szCs w:val="20"/>
          <w:lang w:val="en-US"/>
        </w:rPr>
        <w:tab/>
        <w:t xml:space="preserve"> </w:t>
      </w:r>
      <w:r>
        <w:rPr>
          <w:rFonts w:cs="Garamond" w:ascii="Garamond" w:hAnsi="Garamond"/>
          <w:sz w:val="20"/>
          <w:szCs w:val="20"/>
        </w:rPr>
        <w:t>Ср</w:t>
      </w:r>
      <w:r>
        <w:rPr>
          <w:rFonts w:cs="Garamond" w:ascii="Garamond" w:hAnsi="Garamond"/>
          <w:sz w:val="20"/>
          <w:szCs w:val="20"/>
          <w:lang w:val="en-US"/>
        </w:rPr>
        <w:t xml:space="preserve">.: Storemyr P. </w:t>
      </w:r>
      <w:r>
        <w:rPr>
          <w:rFonts w:cs="Garamond" w:ascii="Garamond" w:hAnsi="Garamond"/>
          <w:i/>
          <w:sz w:val="20"/>
          <w:szCs w:val="20"/>
          <w:lang w:val="en-US"/>
        </w:rPr>
        <w:t>The Little-Known Archaeology of Gharb Aswan, Upper Egypt</w:t>
      </w:r>
      <w:r>
        <w:rPr>
          <w:rFonts w:cs="Garamond" w:ascii="Garamond" w:hAnsi="Garamond"/>
          <w:sz w:val="20"/>
          <w:szCs w:val="20"/>
          <w:lang w:val="en-US"/>
        </w:rPr>
        <w:t>. URL</w:t>
      </w:r>
      <w:r>
        <w:rPr>
          <w:rFonts w:cs="Garamond" w:ascii="Garamond" w:hAnsi="Garamond"/>
          <w:sz w:val="20"/>
          <w:szCs w:val="20"/>
        </w:rPr>
        <w:t xml:space="preserve">: </w:t>
      </w:r>
      <w:hyperlink r:id="rId6">
        <w:r>
          <w:rPr>
            <w:rStyle w:val="Style15"/>
            <w:rFonts w:cs="Garamond" w:ascii="Garamond" w:hAnsi="Garamond"/>
            <w:color w:val="000000"/>
            <w:sz w:val="20"/>
            <w:szCs w:val="20"/>
            <w:u w:val="none"/>
            <w:lang w:val="en-US"/>
          </w:rPr>
          <w:t>https</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per</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storemyr</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net</w:t>
        </w:r>
        <w:r>
          <w:rPr>
            <w:rStyle w:val="Style15"/>
            <w:rFonts w:cs="Garamond" w:ascii="Garamond" w:hAnsi="Garamond"/>
            <w:color w:val="000000"/>
            <w:sz w:val="20"/>
            <w:szCs w:val="20"/>
            <w:u w:val="none"/>
          </w:rPr>
          <w:t>/2013/02/27/</w:t>
        </w:r>
        <w:r>
          <w:rPr>
            <w:rStyle w:val="Style15"/>
            <w:rFonts w:cs="Garamond" w:ascii="Garamond" w:hAnsi="Garamond"/>
            <w:color w:val="000000"/>
            <w:sz w:val="20"/>
            <w:szCs w:val="20"/>
            <w:u w:val="none"/>
            <w:lang w:val="en-US"/>
          </w:rPr>
          <w:t>the</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little</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known</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archaeology</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of</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gharb</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aswan</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upper</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egypt</w:t>
        </w:r>
        <w:r>
          <w:rPr>
            <w:rStyle w:val="Style15"/>
            <w:rFonts w:cs="Garamond" w:ascii="Garamond" w:hAnsi="Garamond"/>
            <w:color w:val="000000"/>
            <w:sz w:val="20"/>
            <w:szCs w:val="20"/>
            <w:u w:val="none"/>
          </w:rPr>
          <w:t>/</w:t>
        </w:r>
      </w:hyperlink>
      <w:r>
        <w:rPr>
          <w:rFonts w:cs="Garamond" w:ascii="Garamond" w:hAnsi="Garamond"/>
          <w:sz w:val="20"/>
          <w:szCs w:val="20"/>
        </w:rPr>
        <w:t xml:space="preserve"> (дата обращения 21.10.2019).</w:t>
      </w:r>
    </w:p>
  </w:footnote>
  <w:footnote w:id="29">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 xml:space="preserve">Или 6480 </w:t>
      </w:r>
      <w:r>
        <w:rPr>
          <w:rFonts w:eastAsia="Symbol" w:cs="Symbol" w:ascii="Symbol" w:hAnsi="Symbol"/>
          <w:sz w:val="20"/>
          <w:szCs w:val="20"/>
        </w:rPr>
        <w:t></w:t>
      </w:r>
      <w:r>
        <w:rPr>
          <w:rFonts w:cs="Garamond" w:ascii="Garamond" w:hAnsi="Garamond"/>
          <w:sz w:val="20"/>
          <w:szCs w:val="20"/>
        </w:rPr>
        <w:t xml:space="preserve"> 170 </w:t>
      </w:r>
      <w:r>
        <w:rPr>
          <w:rFonts w:cs="Garamond" w:ascii="Garamond" w:hAnsi="Garamond"/>
          <w:sz w:val="20"/>
          <w:szCs w:val="20"/>
          <w:vertAlign w:val="superscript"/>
        </w:rPr>
        <w:t>14</w:t>
      </w:r>
      <w:r>
        <w:rPr>
          <w:rFonts w:cs="Garamond" w:ascii="Garamond" w:hAnsi="Garamond"/>
          <w:sz w:val="20"/>
          <w:szCs w:val="20"/>
        </w:rPr>
        <w:t>С л.</w:t>
      </w:r>
      <w:r>
        <w:rPr>
          <w:rFonts w:cs="Garamond" w:ascii="Garamond" w:hAnsi="Garamond"/>
          <w:sz w:val="20"/>
          <w:szCs w:val="20"/>
          <w:lang w:val="en-US"/>
        </w:rPr>
        <w:t> </w:t>
      </w:r>
      <w:r>
        <w:rPr>
          <w:rFonts w:cs="Garamond" w:ascii="Garamond" w:hAnsi="Garamond"/>
          <w:sz w:val="20"/>
          <w:szCs w:val="20"/>
        </w:rPr>
        <w:t>н. ≈ 5583–5297 гг. до н.</w:t>
      </w:r>
      <w:r>
        <w:rPr>
          <w:rFonts w:cs="Garamond" w:ascii="Garamond" w:hAnsi="Garamond"/>
          <w:sz w:val="20"/>
          <w:szCs w:val="20"/>
          <w:lang w:val="en-US"/>
        </w:rPr>
        <w:t> </w:t>
      </w:r>
      <w:r>
        <w:rPr>
          <w:rFonts w:cs="Garamond" w:ascii="Garamond" w:hAnsi="Garamond"/>
          <w:sz w:val="20"/>
          <w:szCs w:val="20"/>
        </w:rPr>
        <w:t>э. (ср.: [</w:t>
      </w:r>
      <w:r>
        <w:rPr>
          <w:rFonts w:cs="Garamond" w:ascii="Garamond" w:hAnsi="Garamond"/>
          <w:sz w:val="20"/>
          <w:szCs w:val="20"/>
          <w:lang w:val="en-US"/>
        </w:rPr>
        <w:t>Dagnan</w:t>
      </w:r>
      <w:r>
        <w:rPr>
          <w:rFonts w:cs="Garamond" w:ascii="Garamond" w:hAnsi="Garamond"/>
          <w:sz w:val="20"/>
          <w:szCs w:val="20"/>
        </w:rPr>
        <w:t>-</w:t>
      </w:r>
      <w:r>
        <w:rPr>
          <w:rFonts w:cs="Garamond" w:ascii="Garamond" w:hAnsi="Garamond"/>
          <w:sz w:val="20"/>
          <w:szCs w:val="20"/>
          <w:lang w:val="en-US"/>
        </w:rPr>
        <w:t>Ginter</w:t>
      </w:r>
      <w:r>
        <w:rPr>
          <w:rFonts w:cs="Garamond" w:ascii="Garamond" w:hAnsi="Garamond"/>
          <w:sz w:val="20"/>
          <w:szCs w:val="20"/>
        </w:rPr>
        <w:t xml:space="preserve"> </w:t>
      </w:r>
      <w:r>
        <w:rPr>
          <w:rFonts w:cs="Garamond" w:ascii="Garamond" w:hAnsi="Garamond"/>
          <w:sz w:val="20"/>
          <w:szCs w:val="20"/>
          <w:lang w:val="en-US"/>
        </w:rPr>
        <w:t>et</w:t>
      </w:r>
      <w:r>
        <w:rPr>
          <w:rFonts w:cs="Garamond" w:ascii="Garamond" w:hAnsi="Garamond"/>
          <w:sz w:val="20"/>
          <w:szCs w:val="20"/>
        </w:rPr>
        <w:t xml:space="preserve"> </w:t>
      </w:r>
      <w:r>
        <w:rPr>
          <w:rFonts w:cs="Garamond" w:ascii="Garamond" w:hAnsi="Garamond"/>
          <w:sz w:val="20"/>
          <w:szCs w:val="20"/>
          <w:lang w:val="en-US"/>
        </w:rPr>
        <w:t>al</w:t>
      </w:r>
      <w:r>
        <w:rPr>
          <w:rFonts w:cs="Garamond" w:ascii="Garamond" w:hAnsi="Garamond"/>
          <w:sz w:val="20"/>
          <w:szCs w:val="20"/>
        </w:rPr>
        <w:t xml:space="preserve">., 1984; </w:t>
      </w:r>
      <w:r>
        <w:rPr>
          <w:rFonts w:cs="Garamond" w:ascii="Garamond" w:hAnsi="Garamond"/>
          <w:sz w:val="20"/>
          <w:szCs w:val="20"/>
          <w:lang w:val="en-US"/>
        </w:rPr>
        <w:t>Wenke</w:t>
      </w:r>
      <w:r>
        <w:rPr>
          <w:rFonts w:cs="Garamond" w:ascii="Garamond" w:hAnsi="Garamond"/>
          <w:sz w:val="20"/>
          <w:szCs w:val="20"/>
        </w:rPr>
        <w:t xml:space="preserve"> </w:t>
      </w:r>
      <w:r>
        <w:rPr>
          <w:rFonts w:cs="Garamond" w:ascii="Garamond" w:hAnsi="Garamond"/>
          <w:sz w:val="20"/>
          <w:szCs w:val="20"/>
          <w:lang w:val="en-US"/>
        </w:rPr>
        <w:t>et</w:t>
      </w:r>
      <w:r>
        <w:rPr>
          <w:rFonts w:cs="Garamond" w:ascii="Garamond" w:hAnsi="Garamond"/>
          <w:sz w:val="20"/>
          <w:szCs w:val="20"/>
        </w:rPr>
        <w:t xml:space="preserve"> </w:t>
      </w:r>
      <w:r>
        <w:rPr>
          <w:rFonts w:cs="Garamond" w:ascii="Garamond" w:hAnsi="Garamond"/>
          <w:sz w:val="20"/>
          <w:szCs w:val="20"/>
          <w:lang w:val="en-US"/>
        </w:rPr>
        <w:t>al</w:t>
      </w:r>
      <w:r>
        <w:rPr>
          <w:rFonts w:cs="Garamond" w:ascii="Garamond" w:hAnsi="Garamond"/>
          <w:sz w:val="20"/>
          <w:szCs w:val="20"/>
        </w:rPr>
        <w:t xml:space="preserve">., </w:t>
      </w:r>
      <w:r>
        <w:rPr>
          <w:rFonts w:cs="Garamond" w:ascii="Garamond" w:hAnsi="Garamond"/>
          <w:iCs/>
          <w:sz w:val="20"/>
          <w:szCs w:val="20"/>
        </w:rPr>
        <w:t>1983</w:t>
      </w:r>
      <w:r>
        <w:rPr>
          <w:rFonts w:cs="Garamond" w:ascii="Garamond" w:hAnsi="Garamond"/>
          <w:sz w:val="20"/>
          <w:szCs w:val="20"/>
        </w:rPr>
        <w:t>]).</w:t>
      </w:r>
    </w:p>
  </w:footnote>
  <w:footnote w:id="30">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См. илл.</w:t>
      </w:r>
      <w:r>
        <w:rPr>
          <w:rFonts w:cs="Garamond" w:ascii="Garamond" w:hAnsi="Garamond"/>
          <w:sz w:val="20"/>
          <w:szCs w:val="20"/>
          <w:lang w:val="en-US"/>
        </w:rPr>
        <w:t> </w:t>
      </w:r>
      <w:r>
        <w:rPr>
          <w:rFonts w:cs="Garamond" w:ascii="Garamond" w:hAnsi="Garamond"/>
          <w:sz w:val="20"/>
          <w:szCs w:val="20"/>
        </w:rPr>
        <w:t>8 и 9   в: [Прусаков, 2019а].</w:t>
      </w:r>
    </w:p>
  </w:footnote>
  <w:footnote w:id="31">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«Под педипленом понимается поверхность выравнивания, образованная за счет разрушения возвышенностей путем физического выветривания их склонов» [Чумаков, 1967].</w:t>
      </w:r>
    </w:p>
  </w:footnote>
  <w:footnote w:id="32">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Ср.: [</w:t>
      </w:r>
      <w:r>
        <w:rPr>
          <w:rFonts w:cs="Garamond" w:ascii="Garamond" w:hAnsi="Garamond"/>
          <w:sz w:val="20"/>
          <w:szCs w:val="20"/>
          <w:lang w:val="en-US"/>
        </w:rPr>
        <w:t>Darnell</w:t>
      </w:r>
      <w:r>
        <w:rPr>
          <w:rFonts w:cs="Garamond" w:ascii="Garamond" w:hAnsi="Garamond"/>
          <w:sz w:val="20"/>
          <w:szCs w:val="20"/>
        </w:rPr>
        <w:t xml:space="preserve">, 2002; </w:t>
      </w:r>
      <w:r>
        <w:rPr>
          <w:rFonts w:cs="Garamond" w:ascii="Garamond" w:hAnsi="Garamond"/>
          <w:sz w:val="20"/>
          <w:szCs w:val="20"/>
          <w:lang w:val="en-US"/>
        </w:rPr>
        <w:t>Jaritz</w:t>
      </w:r>
      <w:r>
        <w:rPr>
          <w:rFonts w:cs="Garamond" w:ascii="Garamond" w:hAnsi="Garamond"/>
          <w:sz w:val="20"/>
          <w:szCs w:val="20"/>
        </w:rPr>
        <w:t>, 1981].</w:t>
      </w:r>
    </w:p>
  </w:footnote>
  <w:footnote w:id="33">
    <w:p>
      <w:pPr>
        <w:pStyle w:val="Style28"/>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С указанным временем все же ассоциируется аридизация последнего покровного оледенения; образование заливов в нильских вади с палеоклиматической точки зрения выглядело бы гораздо логичнее на влажно-полноводной стадии «</w:t>
      </w:r>
      <w:r>
        <w:rPr>
          <w:rFonts w:cs="Garamond" w:ascii="Garamond" w:hAnsi="Garamond"/>
          <w:sz w:val="20"/>
          <w:szCs w:val="20"/>
          <w:lang w:val="en-US"/>
        </w:rPr>
        <w:t>Wild</w:t>
      </w:r>
      <w:r>
        <w:rPr>
          <w:rFonts w:cs="Garamond" w:ascii="Garamond" w:hAnsi="Garamond"/>
          <w:sz w:val="20"/>
          <w:szCs w:val="20"/>
        </w:rPr>
        <w:t xml:space="preserve"> </w:t>
      </w:r>
      <w:r>
        <w:rPr>
          <w:rFonts w:cs="Garamond" w:ascii="Garamond" w:hAnsi="Garamond"/>
          <w:sz w:val="20"/>
          <w:szCs w:val="20"/>
          <w:lang w:val="en-US"/>
        </w:rPr>
        <w:t>Nile</w:t>
      </w:r>
      <w:r>
        <w:rPr>
          <w:rFonts w:cs="Garamond" w:ascii="Garamond" w:hAnsi="Garamond"/>
          <w:sz w:val="20"/>
          <w:szCs w:val="20"/>
        </w:rPr>
        <w:t>», после «резкого возвращения» в Восточную Африку 14700–13100</w:t>
      </w:r>
      <w:r>
        <w:rPr>
          <w:rFonts w:cs="Garamond" w:ascii="Garamond" w:hAnsi="Garamond"/>
          <w:sz w:val="20"/>
          <w:szCs w:val="20"/>
          <w:lang w:val="en-US"/>
        </w:rPr>
        <w:t> </w:t>
      </w:r>
      <w:r>
        <w:rPr>
          <w:rFonts w:cs="Garamond" w:ascii="Garamond" w:hAnsi="Garamond"/>
          <w:sz w:val="20"/>
          <w:szCs w:val="20"/>
        </w:rPr>
        <w:t>калибр. л.</w:t>
      </w:r>
      <w:r>
        <w:rPr>
          <w:rFonts w:cs="Garamond" w:ascii="Garamond" w:hAnsi="Garamond"/>
          <w:sz w:val="20"/>
          <w:szCs w:val="20"/>
          <w:lang w:val="en-US"/>
        </w:rPr>
        <w:t> </w:t>
      </w:r>
      <w:r>
        <w:rPr>
          <w:rFonts w:cs="Garamond" w:ascii="Garamond" w:hAnsi="Garamond"/>
          <w:sz w:val="20"/>
          <w:szCs w:val="20"/>
        </w:rPr>
        <w:t>н. летних ливневых муссонов (см: [</w:t>
      </w:r>
      <w:r>
        <w:rPr>
          <w:rFonts w:cs="Garamond" w:ascii="Garamond" w:hAnsi="Garamond"/>
          <w:sz w:val="20"/>
          <w:szCs w:val="20"/>
          <w:lang w:val="en-US"/>
        </w:rPr>
        <w:t>Barker</w:t>
      </w:r>
      <w:r>
        <w:rPr>
          <w:rFonts w:cs="Garamond" w:ascii="Garamond" w:hAnsi="Garamond"/>
          <w:sz w:val="20"/>
          <w:szCs w:val="20"/>
        </w:rPr>
        <w:t xml:space="preserve">, </w:t>
      </w:r>
      <w:r>
        <w:rPr>
          <w:rFonts w:cs="Garamond" w:ascii="Garamond" w:hAnsi="Garamond"/>
          <w:sz w:val="20"/>
          <w:szCs w:val="20"/>
          <w:lang w:val="en-US"/>
        </w:rPr>
        <w:t>Gasse</w:t>
      </w:r>
      <w:r>
        <w:rPr>
          <w:rFonts w:cs="Garamond" w:ascii="Garamond" w:hAnsi="Garamond"/>
          <w:sz w:val="20"/>
          <w:szCs w:val="20"/>
        </w:rPr>
        <w:t xml:space="preserve">, 2003; </w:t>
      </w:r>
      <w:r>
        <w:rPr>
          <w:rFonts w:cs="Garamond" w:ascii="Garamond" w:hAnsi="Garamond"/>
          <w:iCs/>
          <w:sz w:val="20"/>
          <w:szCs w:val="20"/>
          <w:lang w:val="en-US"/>
        </w:rPr>
        <w:t>Butzer</w:t>
      </w:r>
      <w:r>
        <w:rPr>
          <w:rFonts w:cs="Garamond" w:ascii="Garamond" w:hAnsi="Garamond"/>
          <w:sz w:val="20"/>
          <w:szCs w:val="20"/>
        </w:rPr>
        <w:t xml:space="preserve">, 1998; </w:t>
      </w:r>
      <w:r>
        <w:rPr>
          <w:rFonts w:cs="Garamond" w:ascii="Garamond" w:hAnsi="Garamond"/>
          <w:sz w:val="20"/>
          <w:szCs w:val="20"/>
          <w:lang w:val="en-US"/>
        </w:rPr>
        <w:t>Williams</w:t>
      </w:r>
      <w:r>
        <w:rPr>
          <w:rFonts w:cs="Garamond" w:ascii="Garamond" w:hAnsi="Garamond"/>
          <w:sz w:val="20"/>
          <w:szCs w:val="20"/>
        </w:rPr>
        <w:t xml:space="preserve">, 2009; </w:t>
      </w:r>
      <w:r>
        <w:rPr>
          <w:rFonts w:cs="Garamond" w:ascii="Garamond" w:hAnsi="Garamond"/>
          <w:sz w:val="20"/>
          <w:szCs w:val="20"/>
          <w:lang w:val="en-US"/>
        </w:rPr>
        <w:t>Williams</w:t>
      </w:r>
      <w:r>
        <w:rPr>
          <w:rFonts w:cs="Garamond" w:ascii="Garamond" w:hAnsi="Garamond"/>
          <w:sz w:val="20"/>
          <w:szCs w:val="20"/>
        </w:rPr>
        <w:t xml:space="preserve"> </w:t>
      </w:r>
      <w:r>
        <w:rPr>
          <w:rFonts w:cs="Garamond" w:ascii="Garamond" w:hAnsi="Garamond"/>
          <w:sz w:val="20"/>
          <w:szCs w:val="20"/>
          <w:lang w:val="en-US"/>
        </w:rPr>
        <w:t>et</w:t>
      </w:r>
      <w:r>
        <w:rPr>
          <w:rFonts w:cs="Garamond" w:ascii="Garamond" w:hAnsi="Garamond"/>
          <w:sz w:val="20"/>
          <w:szCs w:val="20"/>
        </w:rPr>
        <w:t xml:space="preserve"> </w:t>
      </w:r>
      <w:r>
        <w:rPr>
          <w:rFonts w:cs="Garamond" w:ascii="Garamond" w:hAnsi="Garamond"/>
          <w:sz w:val="20"/>
          <w:szCs w:val="20"/>
          <w:lang w:val="en-US"/>
        </w:rPr>
        <w:t>al</w:t>
      </w:r>
      <w:r>
        <w:rPr>
          <w:rFonts w:cs="Garamond" w:ascii="Garamond" w:hAnsi="Garamond"/>
          <w:sz w:val="20"/>
          <w:szCs w:val="20"/>
        </w:rPr>
        <w:t>., 2006]).</w:t>
      </w:r>
    </w:p>
  </w:footnote>
  <w:footnote w:id="34">
    <w:p>
      <w:pPr>
        <w:pStyle w:val="Style28"/>
        <w:ind w:end="-31" w:hanging="0"/>
        <w:jc w:val="both"/>
        <w:rPr/>
      </w:pPr>
      <w:r>
        <w:rPr>
          <w:rStyle w:val="Style14"/>
        </w:rPr>
        <w:footnoteRef/>
      </w:r>
      <w:r>
        <w:rPr>
          <w:rFonts w:eastAsia="Garamond" w:cs="Garamond" w:ascii="Garamond" w:hAnsi="Garamond"/>
          <w:sz w:val="20"/>
          <w:szCs w:val="20"/>
          <w:lang w:val="en-US"/>
        </w:rPr>
        <w:tab/>
        <w:t xml:space="preserve"> </w:t>
      </w:r>
      <w:r>
        <w:rPr>
          <w:rFonts w:cs="Garamond" w:ascii="Garamond" w:hAnsi="Garamond"/>
          <w:sz w:val="20"/>
          <w:szCs w:val="20"/>
          <w:lang w:val="en-US"/>
        </w:rPr>
        <w:t xml:space="preserve">Storemyr P. </w:t>
      </w:r>
      <w:r>
        <w:rPr>
          <w:rFonts w:cs="Garamond" w:ascii="Garamond" w:hAnsi="Garamond"/>
          <w:i/>
          <w:sz w:val="20"/>
          <w:szCs w:val="20"/>
          <w:lang w:val="en-US"/>
        </w:rPr>
        <w:t>The Palaeolithic Rock Art in Wadi Abu Subeira, Egypt: Landscape, Archaeology, Threats and Conservation</w:t>
      </w:r>
      <w:r>
        <w:rPr>
          <w:rFonts w:cs="Garamond" w:ascii="Garamond" w:hAnsi="Garamond"/>
          <w:sz w:val="20"/>
          <w:szCs w:val="20"/>
          <w:lang w:val="en-US"/>
        </w:rPr>
        <w:t>. URL</w:t>
      </w:r>
      <w:r>
        <w:rPr>
          <w:rFonts w:cs="Garamond" w:ascii="Garamond" w:hAnsi="Garamond"/>
          <w:sz w:val="20"/>
          <w:szCs w:val="20"/>
        </w:rPr>
        <w:t xml:space="preserve">: </w:t>
      </w:r>
      <w:hyperlink r:id="rId7">
        <w:r>
          <w:rPr>
            <w:rStyle w:val="Style15"/>
            <w:rFonts w:cs="Garamond" w:ascii="Garamond" w:hAnsi="Garamond"/>
            <w:color w:val="000000"/>
            <w:sz w:val="20"/>
            <w:szCs w:val="20"/>
            <w:u w:val="none"/>
            <w:lang w:val="en-US"/>
          </w:rPr>
          <w:t>https</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per</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storemyr</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net</w:t>
        </w:r>
        <w:r>
          <w:rPr>
            <w:rStyle w:val="Style15"/>
            <w:rFonts w:cs="Garamond" w:ascii="Garamond" w:hAnsi="Garamond"/>
            <w:color w:val="000000"/>
            <w:sz w:val="20"/>
            <w:szCs w:val="20"/>
            <w:u w:val="none"/>
          </w:rPr>
          <w:t>/2012/05/01/</w:t>
        </w:r>
        <w:r>
          <w:rPr>
            <w:rStyle w:val="Style15"/>
            <w:rFonts w:cs="Garamond" w:ascii="Garamond" w:hAnsi="Garamond"/>
            <w:color w:val="000000"/>
            <w:sz w:val="20"/>
            <w:szCs w:val="20"/>
            <w:u w:val="none"/>
            <w:lang w:val="en-US"/>
          </w:rPr>
          <w:t>the</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palaeolithic</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rock</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art</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in</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wadi</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abu</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subeira</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egypt</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landscape</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archaeology</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threats</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and</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conservation</w:t>
        </w:r>
        <w:r>
          <w:rPr>
            <w:rStyle w:val="Style15"/>
            <w:rFonts w:cs="Garamond" w:ascii="Garamond" w:hAnsi="Garamond"/>
            <w:color w:val="000000"/>
            <w:sz w:val="20"/>
            <w:szCs w:val="20"/>
            <w:u w:val="none"/>
          </w:rPr>
          <w:t>/</w:t>
        </w:r>
      </w:hyperlink>
      <w:r>
        <w:rPr>
          <w:rFonts w:cs="Garamond" w:ascii="Garamond" w:hAnsi="Garamond"/>
          <w:sz w:val="20"/>
          <w:szCs w:val="20"/>
        </w:rPr>
        <w:t xml:space="preserve"> (дата обращения 26.11.2019).</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8820" w:type="dxa"/>
      <w:jc w:val="start"/>
      <w:tblInd w:w="0" w:type="dxa"/>
      <w:tblBorders>
        <w:bottom w:val="single" w:sz="12" w:space="0" w:color="000000"/>
        <w:insideH w:val="single" w:sz="12" w:space="0" w:color="000000"/>
      </w:tblBorders>
      <w:tblCellMar>
        <w:top w:w="0" w:type="dxa"/>
        <w:start w:w="108" w:type="dxa"/>
        <w:bottom w:w="0" w:type="dxa"/>
        <w:end w:w="108" w:type="dxa"/>
      </w:tblCellMar>
    </w:tblPr>
    <w:tblGrid>
      <w:gridCol w:w="8820"/>
    </w:tblGrid>
    <w:tr>
      <w:trPr/>
      <w:tc>
        <w:tcPr>
          <w:tcW w:w="8820" w:type="dxa"/>
          <w:tcBorders>
            <w:bottom w:val="single" w:sz="12" w:space="0" w:color="000000"/>
            <w:insideH w:val="single" w:sz="12" w:space="0" w:color="000000"/>
          </w:tcBorders>
          <w:shd w:fill="auto" w:val="clear"/>
        </w:tcPr>
        <w:p>
          <w:pPr>
            <w:pStyle w:val="Style29"/>
            <w:jc w:val="center"/>
            <w:rPr>
              <w:rFonts w:ascii="Garamond" w:hAnsi="Garamond" w:cs="Garamond"/>
              <w:color w:val="000000"/>
            </w:rPr>
          </w:pPr>
          <w:r>
            <w:rPr>
              <w:rFonts w:cs="Garamond" w:ascii="Garamond" w:hAnsi="Garamond"/>
              <w:bCs/>
            </w:rPr>
            <w:t xml:space="preserve">Прусаков Д. Б. </w:t>
          </w:r>
          <w:r>
            <w:rPr>
              <w:rFonts w:cs="Garamond" w:ascii="Garamond" w:hAnsi="Garamond"/>
            </w:rPr>
            <w:t xml:space="preserve">Гипотеза о </w:t>
          </w:r>
          <w:r>
            <w:rPr>
              <w:rFonts w:cs="Garamond" w:ascii="Garamond" w:hAnsi="Garamond"/>
              <w:lang w:eastAsia="en-US"/>
            </w:rPr>
            <w:t>«Земле излияния Реки». Часть </w:t>
          </w:r>
          <w:r>
            <w:rPr>
              <w:rFonts w:cs="Garamond" w:ascii="Garamond" w:hAnsi="Garamond"/>
              <w:lang w:val="en-US" w:eastAsia="en-US"/>
            </w:rPr>
            <w:t>II</w:t>
          </w:r>
        </w:p>
        <w:p>
          <w:pPr>
            <w:pStyle w:val="Style29"/>
            <w:jc w:val="center"/>
            <w:rPr>
              <w:rFonts w:ascii="Garamond" w:hAnsi="Garamond" w:cs="Garamond"/>
              <w:color w:val="000000"/>
              <w:sz w:val="8"/>
              <w:szCs w:val="8"/>
            </w:rPr>
          </w:pPr>
          <w:r>
            <w:rPr>
              <w:rFonts w:cs="Garamond" w:ascii="Garamond" w:hAnsi="Garamond"/>
              <w:color w:val="000000"/>
              <w:sz w:val="8"/>
              <w:szCs w:val="8"/>
            </w:rPr>
          </w:r>
        </w:p>
      </w:tc>
    </w:tr>
  </w:tbl>
  <w:p>
    <w:pPr>
      <w:pStyle w:val="Style29"/>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start"/>
      <w:pPr>
        <w:ind w:start="0" w:hanging="0"/>
      </w:pPr>
    </w:lvl>
    <w:lvl w:ilvl="1">
      <w:start w:val="1"/>
      <w:numFmt w:val="none"/>
      <w:suff w:val="nothing"/>
      <w:lvlText w:val=""/>
      <w:lvlJc w:val="start"/>
      <w:pPr>
        <w:ind w:start="0" w:hanging="0"/>
      </w:pPr>
    </w:lvl>
    <w:lvl w:ilvl="2">
      <w:start w:val="1"/>
      <w:numFmt w:val="none"/>
      <w:suff w:val="nothing"/>
      <w:lvlText w:val=""/>
      <w:lvlJc w:val="start"/>
      <w:pPr>
        <w:ind w:start="0" w:hanging="0"/>
      </w:pPr>
    </w:lvl>
    <w:lvl w:ilvl="3">
      <w:start w:val="1"/>
      <w:numFmt w:val="none"/>
      <w:suff w:val="nothing"/>
      <w:lvlText w:val=""/>
      <w:lvlJc w:val="start"/>
      <w:pPr>
        <w:ind w:start="0" w:hanging="0"/>
      </w:pPr>
    </w:lvl>
    <w:lvl w:ilvl="4">
      <w:start w:val="1"/>
      <w:pStyle w:val="5"/>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num w:numId="1">
    <w:abstractNumId w:val="1"/>
  </w:num>
</w:numbering>
</file>

<file path=word/settings.xml><?xml version="1.0" encoding="utf-8"?>
<w:settings xmlns:w="http://schemas.openxmlformats.org/wordprocessingml/2006/main">
  <w:zoom w:percent="150"/>
  <w:defaultTabStop w:val="709"/>
  <w:footnotePr>
    <w:numFmt w:val="decimal"/>
    <w:numRestart w:val="eachSect"/>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sz w:val="24"/>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ru-RU" w:bidi="ar-SA" w:eastAsia="zh-CN"/>
    </w:rPr>
  </w:style>
  <w:style w:type="paragraph" w:styleId="5">
    <w:name w:val="Heading 5"/>
    <w:basedOn w:val="Normal"/>
    <w:next w:val="Style23"/>
    <w:qFormat/>
    <w:pPr>
      <w:numPr>
        <w:ilvl w:val="4"/>
        <w:numId w:val="1"/>
      </w:numPr>
      <w:spacing w:before="280" w:after="280"/>
      <w:outlineLvl w:val="4"/>
    </w:pPr>
    <w:rPr>
      <w:rFonts w:ascii="Times" w:hAnsi="Times" w:eastAsia="MS Mincho;MS Gothic" w:cs="Times New Roman"/>
      <w:b/>
      <w:bCs/>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Style13">
    <w:name w:val="Основной шрифт абзаца"/>
    <w:qFormat/>
    <w:rPr/>
  </w:style>
  <w:style w:type="character" w:styleId="FooterChar">
    <w:name w:val="Footer Char"/>
    <w:qFormat/>
    <w:rPr>
      <w:rFonts w:ascii="Times New Roman" w:hAnsi="Times New Roman" w:eastAsia="Times New Roman" w:cs="Times New Roman"/>
      <w:sz w:val="20"/>
      <w:szCs w:val="20"/>
    </w:rPr>
  </w:style>
  <w:style w:type="character" w:styleId="FootnoteTextChar">
    <w:name w:val="Footnote Text Char"/>
    <w:qFormat/>
    <w:rPr>
      <w:rFonts w:ascii="Times New Roman" w:hAnsi="Times New Roman" w:eastAsia="Times New Roman" w:cs="Times New Roman"/>
    </w:rPr>
  </w:style>
  <w:style w:type="character" w:styleId="Style14">
    <w:name w:val="Символ сноски"/>
    <w:qFormat/>
    <w:rPr>
      <w:vertAlign w:val="superscript"/>
    </w:rPr>
  </w:style>
  <w:style w:type="character" w:styleId="BodyTextChar">
    <w:name w:val="Body Text Char"/>
    <w:qFormat/>
    <w:rPr>
      <w:rFonts w:ascii="Times New Roman" w:hAnsi="Times New Roman" w:cs="Times New Roman"/>
      <w:b/>
      <w:bCs/>
      <w:sz w:val="18"/>
      <w:szCs w:val="18"/>
      <w:lang w:val="en-US"/>
    </w:rPr>
  </w:style>
  <w:style w:type="character" w:styleId="Appleconvertedspace">
    <w:name w:val="apple-converted-space"/>
    <w:basedOn w:val="Style13"/>
    <w:qFormat/>
    <w:rPr/>
  </w:style>
  <w:style w:type="character" w:styleId="Heading5Char">
    <w:name w:val="Heading 5 Char"/>
    <w:qFormat/>
    <w:rPr>
      <w:rFonts w:ascii="Times" w:hAnsi="Times" w:cs="Times"/>
      <w:b/>
      <w:bCs/>
      <w:sz w:val="20"/>
      <w:szCs w:val="20"/>
    </w:rPr>
  </w:style>
  <w:style w:type="character" w:styleId="Style15">
    <w:name w:val="Интернет-ссылка"/>
    <w:rPr>
      <w:color w:val="0000FF"/>
      <w:u w:val="single"/>
    </w:rPr>
  </w:style>
  <w:style w:type="character" w:styleId="Style16">
    <w:name w:val="Посещённая гиперссылка"/>
    <w:rPr>
      <w:color w:val="800080"/>
      <w:u w:val="single"/>
    </w:rPr>
  </w:style>
  <w:style w:type="character" w:styleId="Style17">
    <w:name w:val="Номер страницы"/>
    <w:basedOn w:val="Style13"/>
    <w:rPr/>
  </w:style>
  <w:style w:type="character" w:styleId="Style18">
    <w:name w:val="Выделение"/>
    <w:qFormat/>
    <w:rPr>
      <w:i/>
      <w:iCs/>
    </w:rPr>
  </w:style>
  <w:style w:type="character" w:styleId="WW8Dropcap0">
    <w:name w:val="WW8Dropcap0"/>
    <w:qFormat/>
    <w:rPr>
      <w:rFonts w:ascii="Garamond" w:hAnsi="Garamond" w:cs="Garamond"/>
      <w:sz w:val="112"/>
      <w:szCs w:val="112"/>
    </w:rPr>
  </w:style>
  <w:style w:type="character" w:styleId="Style19">
    <w:name w:val="Привязка сноски"/>
    <w:rPr>
      <w:vertAlign w:val="superscript"/>
    </w:rPr>
  </w:style>
  <w:style w:type="character" w:styleId="Style20">
    <w:name w:val="Привязка концевой сноски"/>
    <w:rPr>
      <w:vertAlign w:val="superscript"/>
    </w:rPr>
  </w:style>
  <w:style w:type="character" w:styleId="Style21">
    <w:name w:val="Символ концевой сноски"/>
    <w:qFormat/>
    <w:rPr/>
  </w:style>
  <w:style w:type="paragraph" w:styleId="Style22">
    <w:name w:val="Заголовок"/>
    <w:basedOn w:val="Normal"/>
    <w:next w:val="Style23"/>
    <w:qFormat/>
    <w:pPr>
      <w:keepNext w:val="true"/>
      <w:spacing w:before="240" w:after="120"/>
    </w:pPr>
    <w:rPr>
      <w:rFonts w:ascii="Liberation Sans" w:hAnsi="Liberation Sans" w:eastAsia="Noto Sans CJK SC" w:cs="Lohit Devanagari"/>
      <w:sz w:val="28"/>
      <w:szCs w:val="28"/>
    </w:rPr>
  </w:style>
  <w:style w:type="paragraph" w:styleId="Style23">
    <w:name w:val="Body Text"/>
    <w:basedOn w:val="Normal"/>
    <w:pPr>
      <w:widowControl w:val="false"/>
      <w:autoSpaceDE w:val="false"/>
      <w:ind w:start="40" w:hanging="0"/>
    </w:pPr>
    <w:rPr>
      <w:rFonts w:eastAsia="MS Mincho;MS Gothic"/>
      <w:b/>
      <w:bCs/>
      <w:sz w:val="18"/>
      <w:szCs w:val="18"/>
      <w:lang w:val="en-US"/>
    </w:rPr>
  </w:style>
  <w:style w:type="paragraph" w:styleId="Style24">
    <w:name w:val="List"/>
    <w:basedOn w:val="Style23"/>
    <w:pPr/>
    <w:rPr>
      <w:rFonts w:cs="Lohit Devanagari"/>
    </w:rPr>
  </w:style>
  <w:style w:type="paragraph" w:styleId="Style25">
    <w:name w:val="Caption"/>
    <w:basedOn w:val="Normal"/>
    <w:qFormat/>
    <w:pPr>
      <w:suppressLineNumbers/>
      <w:spacing w:before="120" w:after="120"/>
    </w:pPr>
    <w:rPr>
      <w:rFonts w:cs="Lohit Devanagari"/>
      <w:i/>
      <w:iCs/>
      <w:sz w:val="24"/>
      <w:szCs w:val="24"/>
    </w:rPr>
  </w:style>
  <w:style w:type="paragraph" w:styleId="Style26">
    <w:name w:val="Указатель"/>
    <w:basedOn w:val="Normal"/>
    <w:qFormat/>
    <w:pPr>
      <w:suppressLineNumbers/>
    </w:pPr>
    <w:rPr>
      <w:rFonts w:cs="Lohit Devanagari"/>
    </w:rPr>
  </w:style>
  <w:style w:type="paragraph" w:styleId="Style27">
    <w:name w:val="Footer"/>
    <w:basedOn w:val="Normal"/>
    <w:pPr/>
    <w:rPr/>
  </w:style>
  <w:style w:type="paragraph" w:styleId="Style28">
    <w:name w:val="Footnote Text"/>
    <w:basedOn w:val="Normal"/>
    <w:pPr/>
    <w:rPr>
      <w:sz w:val="24"/>
      <w:szCs w:val="24"/>
    </w:rPr>
  </w:style>
  <w:style w:type="paragraph" w:styleId="ListParagraph">
    <w:name w:val="List Paragraph"/>
    <w:basedOn w:val="Normal"/>
    <w:qFormat/>
    <w:pPr>
      <w:spacing w:before="0" w:after="0"/>
      <w:ind w:start="720" w:hanging="0"/>
      <w:contextualSpacing/>
    </w:pPr>
    <w:rPr/>
  </w:style>
  <w:style w:type="paragraph" w:styleId="Style29">
    <w:name w:val="Header"/>
    <w:basedOn w:val="Normal"/>
    <w:pPr>
      <w:tabs>
        <w:tab w:val="center" w:pos="4677" w:leader="none"/>
        <w:tab w:val="right" w:pos="9355" w:leader="none"/>
      </w:tabs>
    </w:pPr>
    <w:rPr/>
  </w:style>
  <w:style w:type="paragraph" w:styleId="Style30">
    <w:name w:val="Обычный (веб)"/>
    <w:basedOn w:val="Normal"/>
    <w:qFormat/>
    <w:pPr>
      <w:spacing w:before="280" w:after="280"/>
    </w:pPr>
    <w:rPr>
      <w:sz w:val="24"/>
      <w:szCs w:val="24"/>
    </w:rPr>
  </w:style>
  <w:style w:type="paragraph" w:styleId="Msonormalmailrucssattributepostfix">
    <w:name w:val="msonormal_mailru_css_attribute_postfix"/>
    <w:basedOn w:val="Normal"/>
    <w:qFormat/>
    <w:pPr>
      <w:spacing w:before="280" w:after="280"/>
    </w:pPr>
    <w:rPr>
      <w:sz w:val="24"/>
      <w:szCs w:val="24"/>
    </w:rPr>
  </w:style>
  <w:style w:type="paragraph" w:styleId="Style31">
    <w:name w:val="Содержимое таблицы"/>
    <w:basedOn w:val="Normal"/>
    <w:qFormat/>
    <w:pPr>
      <w:suppressLineNumbers/>
    </w:pPr>
    <w:rPr/>
  </w:style>
  <w:style w:type="paragraph" w:styleId="Style32">
    <w:name w:val="Заголовок таблицы"/>
    <w:basedOn w:val="Style31"/>
    <w:qFormat/>
    <w:pPr>
      <w:suppressLineNumbers/>
      <w:jc w:val="center"/>
    </w:pPr>
    <w:rPr>
      <w:b/>
      <w:bCs/>
    </w:rPr>
  </w:style>
  <w:style w:type="paragraph" w:styleId="Style33">
    <w:name w:val="Содержимое врезки"/>
    <w:basedOn w:val="Normal"/>
    <w:qFormat/>
    <w:pPr/>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hyperlink" Target="http://looklex.com/e.o/slides/nasser_lake02.jpg" TargetMode="External"/><Relationship Id="rId9" Type="http://schemas.openxmlformats.org/officeDocument/2006/relationships/image" Target="media/image6.jpeg"/><Relationship Id="rId10" Type="http://schemas.openxmlformats.org/officeDocument/2006/relationships/hyperlink" Target="http://looklex.com/e.o/lake_nasser.htm" TargetMode="External"/><Relationship Id="rId11" Type="http://schemas.openxmlformats.org/officeDocument/2006/relationships/image" Target="media/image7.jpeg"/><Relationship Id="rId12" Type="http://schemas.openxmlformats.org/officeDocument/2006/relationships/hyperlink" Target="https://per-storemyr.net/2012/05/01/the-palaeolithic-rock-art-in-wadi-abu-subeira-egypt-landscape-archaeology-threats-and-conservation/" TargetMode="External"/><Relationship Id="rId13" Type="http://schemas.openxmlformats.org/officeDocument/2006/relationships/hyperlink" Target="https://per-storemyr.net/2013/02/27/the-little-known-archaeology-of-gharb-aswan-upper-egypt/" TargetMode="External"/><Relationship Id="rId14" Type="http://schemas.openxmlformats.org/officeDocument/2006/relationships/hyperlink" Target="https://per-storemyr.net/2012/05/01/the-palaeolithic-rock-art-in-wadi-abu-subeira-egypt-landscape-archaeology-threats-and-conservation/" TargetMode="External"/><Relationship Id="rId15" Type="http://schemas.openxmlformats.org/officeDocument/2006/relationships/hyperlink" Target="https://www.academia.edu/34223600/The_Gebel_Sheikh_Suleiman_Monument" TargetMode="External"/><Relationship Id="rId16" Type="http://schemas.openxmlformats.org/officeDocument/2006/relationships/hyperlink" Target="http://antropogenez.ru/zveno-single/302/" TargetMode="External"/><Relationship Id="rId17" Type="http://schemas.openxmlformats.org/officeDocument/2006/relationships/header" Target="header1.xml"/><Relationship Id="rId18" Type="http://schemas.openxmlformats.org/officeDocument/2006/relationships/footer" Target="footer2.xml"/><Relationship Id="rId19" Type="http://schemas.openxmlformats.org/officeDocument/2006/relationships/footnotes" Target="footnotes.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mailto:dmprusakov@mail.ru" TargetMode="External"/><Relationship Id="rId2" Type="http://schemas.openxmlformats.org/officeDocument/2006/relationships/hyperlink" Target="mailto:dmprusakov@mail.ru" TargetMode="External"/><Relationship Id="rId3" Type="http://schemas.openxmlformats.org/officeDocument/2006/relationships/hyperlink" Target="https://orcid.org/0000-0001-6065-4610" TargetMode="External"/><Relationship Id="rId4" Type="http://schemas.openxmlformats.org/officeDocument/2006/relationships/hyperlink" Target="http://antropogenez.ru/zveno-single/302/" TargetMode="External"/><Relationship Id="rId5" Type="http://schemas.openxmlformats.org/officeDocument/2006/relationships/hyperlink" Target="https://www.academia.edu/34223600/The_Gebel_Sheikh_Suleiman_Monument" TargetMode="External"/><Relationship Id="rId6" Type="http://schemas.openxmlformats.org/officeDocument/2006/relationships/hyperlink" Target="https://per-storemyr.net/2013/02/27/the-little-known-archaeology-of-gharb-aswan-upper-egypt/" TargetMode="External"/><Relationship Id="rId7" Type="http://schemas.openxmlformats.org/officeDocument/2006/relationships/hyperlink" Target="https://per-storemyr.net/2012/05/01/the-palaeolithic-rock-art-in-wadi-abu-subeira-egypt-landscape-archaeology-threats-and-conservation/" TargetMode="External"/>
</Relationships>
</file>

<file path=docProps/app.xml><?xml version="1.0" encoding="utf-8"?>
<Properties xmlns="http://schemas.openxmlformats.org/officeDocument/2006/extended-properties" xmlns:vt="http://schemas.openxmlformats.org/officeDocument/2006/docPropsVTypes">
  <Template>Normal.dot</Template>
  <TotalTime>822</TotalTime>
  <Application>LibreOffice/6.0.7.3$Linux_X86_64 LibreOffice_project/00m0$Build-3</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2018-03-18T21:15:00Z</dcterms:created>
  <dc:creator>Vestnik IOS RAS</dc:creator>
  <dc:description/>
  <cp:keywords/>
  <dc:language>ru-RU</dc:language>
  <cp:lastModifiedBy>User</cp:lastModifiedBy>
  <dcterms:modified xsi:type="dcterms:W3CDTF">2020-03-25T17:03:00Z</dcterms:modified>
  <cp:revision>386</cp:revision>
  <dc:subject/>
  <dc:title>РУБРИКА: РЕЦЕНЗИИ; к юбилею ИВ РАН (</dc:title>
</cp:coreProperties>
</file>