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footnotes.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2.xml" ContentType="application/vnd.openxmlformats-officedocument.wordprocessingml.footer+xml"/>
  <Override PartName="/word/media/image1.jpeg" ContentType="image/jpeg"/>
  <Override PartName="/word/footer1.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end="-31" w:hanging="0"/>
        <w:jc w:val="center"/>
        <w:rPr>
          <w:rFonts w:ascii="Garamond" w:hAnsi="Garamond" w:cs="Garamond"/>
          <w:b/>
          <w:b/>
          <w:caps/>
          <w:sz w:val="24"/>
          <w:szCs w:val="24"/>
        </w:rPr>
      </w:pPr>
      <w:r>
        <w:rPr>
          <w:rFonts w:cs="Garamond" w:ascii="Garamond" w:hAnsi="Garamond"/>
          <w:b/>
          <w:caps/>
          <w:sz w:val="24"/>
          <w:szCs w:val="24"/>
        </w:rPr>
        <w:t>Древний некрополь Гизы: страницы поздней истории</w:t>
      </w:r>
    </w:p>
    <w:tbl>
      <w:tblPr>
        <w:tblW w:w="8820" w:type="dxa"/>
        <w:jc w:val="start"/>
        <w:tblInd w:w="0" w:type="dxa"/>
        <w:tblBorders>
          <w:bottom w:val="thickThinMediumGap" w:sz="24" w:space="0" w:color="000000"/>
          <w:insideH w:val="thickThinMediumGap" w:sz="24" w:space="0" w:color="000000"/>
        </w:tblBorders>
        <w:tblCellMar>
          <w:top w:w="0" w:type="dxa"/>
          <w:start w:w="108" w:type="dxa"/>
          <w:bottom w:w="0" w:type="dxa"/>
          <w:end w:w="108" w:type="dxa"/>
        </w:tblCellMar>
      </w:tblPr>
      <w:tblGrid>
        <w:gridCol w:w="8820"/>
      </w:tblGrid>
      <w:tr>
        <w:trPr/>
        <w:tc>
          <w:tcPr>
            <w:tcW w:w="8820" w:type="dxa"/>
            <w:tcBorders>
              <w:bottom w:val="thickThinMediumGap" w:sz="24" w:space="0" w:color="000000"/>
              <w:insideH w:val="thickThinMediumGap" w:sz="24" w:space="0" w:color="000000"/>
            </w:tcBorders>
            <w:shd w:fill="auto" w:val="clear"/>
          </w:tcPr>
          <w:p>
            <w:pPr>
              <w:pStyle w:val="Normal"/>
              <w:snapToGrid w:val="false"/>
              <w:ind w:end="-31" w:hanging="0"/>
              <w:jc w:val="center"/>
              <w:rPr>
                <w:rFonts w:ascii="Garamond" w:hAnsi="Garamond" w:cs="Garamond"/>
                <w:b/>
                <w:b/>
                <w:caps/>
                <w:sz w:val="12"/>
                <w:szCs w:val="12"/>
              </w:rPr>
            </w:pPr>
            <w:r>
              <w:rPr>
                <w:rFonts w:cs="Garamond" w:ascii="Garamond" w:hAnsi="Garamond"/>
                <w:b/>
                <w:caps/>
                <w:sz w:val="12"/>
                <w:szCs w:val="12"/>
              </w:rPr>
            </w:r>
          </w:p>
        </w:tc>
      </w:tr>
    </w:tbl>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center"/>
        <w:rPr>
          <w:rFonts w:ascii="Garamond" w:hAnsi="Garamond" w:cs="Garamond"/>
          <w:caps/>
          <w:sz w:val="24"/>
          <w:szCs w:val="24"/>
        </w:rPr>
      </w:pPr>
      <w:r>
        <w:rPr>
          <w:rFonts w:cs="Garamond" w:ascii="Garamond" w:hAnsi="Garamond"/>
          <w:caps/>
          <w:sz w:val="24"/>
          <w:szCs w:val="24"/>
        </w:rPr>
      </w:r>
    </w:p>
    <w:p>
      <w:pPr>
        <w:pStyle w:val="Normal"/>
        <w:ind w:end="-31" w:hanging="0"/>
        <w:jc w:val="both"/>
        <w:rPr>
          <w:rFonts w:ascii="Garamond" w:hAnsi="Garamond" w:cs="Garamond"/>
          <w:sz w:val="24"/>
          <w:szCs w:val="24"/>
        </w:rPr>
      </w:pPr>
      <w:r>
        <w:rPr>
          <w:rFonts w:cs="Garamond" w:ascii="Garamond" w:hAnsi="Garamond"/>
          <w:sz w:val="24"/>
          <w:szCs w:val="24"/>
          <w:lang w:val="en-US"/>
        </w:rPr>
        <w:t>DOI</w:t>
      </w:r>
      <w:r>
        <w:rPr>
          <w:rFonts w:cs="Garamond" w:ascii="Garamond" w:hAnsi="Garamond"/>
          <w:sz w:val="24"/>
          <w:szCs w:val="24"/>
        </w:rPr>
        <w:t>: 10.31696/2618-7302-2020-3-57-62</w:t>
      </w:r>
    </w:p>
    <w:p>
      <w:pPr>
        <w:pStyle w:val="Normal"/>
        <w:ind w:end="-31" w:hanging="0"/>
        <w:jc w:val="both"/>
        <w:rPr>
          <w:rFonts w:ascii="Garamond" w:hAnsi="Garamond" w:cs="Garamond"/>
          <w:b/>
          <w:b/>
          <w:sz w:val="24"/>
          <w:szCs w:val="24"/>
        </w:rPr>
      </w:pPr>
      <w:r>
        <w:rPr>
          <w:rFonts w:cs="Garamond" w:ascii="Garamond" w:hAnsi="Garamond"/>
          <w:b/>
          <w:sz w:val="24"/>
          <w:szCs w:val="24"/>
        </w:rPr>
      </w:r>
    </w:p>
    <w:p>
      <w:pPr>
        <w:pStyle w:val="Normal"/>
        <w:spacing w:lineRule="auto" w:line="360"/>
        <w:ind w:end="-31" w:hanging="0"/>
        <w:jc w:val="center"/>
        <w:rPr>
          <w:rFonts w:ascii="Garamond" w:hAnsi="Garamond" w:cs="Garamond"/>
          <w:b/>
          <w:b/>
          <w:sz w:val="26"/>
          <w:szCs w:val="26"/>
        </w:rPr>
      </w:pPr>
      <w:r>
        <w:rPr>
          <w:rFonts w:cs="Garamond" w:ascii="Garamond" w:hAnsi="Garamond"/>
          <w:b/>
          <w:sz w:val="26"/>
          <w:szCs w:val="26"/>
        </w:rPr>
        <w:t>ИСЛАМСКИЕ МОНЕТЫ ИЗ ВОСТОЧНОЙ ГИЗЫ (ЕГИПЕТ)</w:t>
      </w:r>
    </w:p>
    <w:p>
      <w:pPr>
        <w:pStyle w:val="Normal"/>
        <w:spacing w:lineRule="auto" w:line="360"/>
        <w:ind w:end="-31" w:hanging="0"/>
        <w:jc w:val="both"/>
        <w:rPr>
          <w:rFonts w:ascii="Garamond" w:hAnsi="Garamond" w:cs="Garamond"/>
          <w:b/>
          <w:b/>
          <w:sz w:val="24"/>
          <w:szCs w:val="24"/>
        </w:rPr>
      </w:pPr>
      <w:r>
        <w:rPr>
          <w:rFonts w:cs="Garamond" w:ascii="Garamond" w:hAnsi="Garamond"/>
          <w:sz w:val="24"/>
          <w:szCs w:val="24"/>
        </w:rPr>
        <w:t>© 2020</w:t>
      </w:r>
      <w:r>
        <w:rPr>
          <w:rFonts w:cs="Garamond" w:ascii="Garamond" w:hAnsi="Garamond"/>
          <w:b/>
          <w:sz w:val="24"/>
          <w:szCs w:val="24"/>
        </w:rPr>
        <w:t xml:space="preserve"> </w:t>
        <w:tab/>
        <w:tab/>
        <w:t xml:space="preserve">      </w:t>
      </w:r>
      <w:r>
        <w:rPr>
          <w:rFonts w:cs="Garamond" w:ascii="Garamond" w:hAnsi="Garamond"/>
          <w:b/>
          <w:sz w:val="26"/>
          <w:szCs w:val="26"/>
        </w:rPr>
        <w:t>Е. Ю. Гончаров, С. Е. Малых</w:t>
      </w:r>
      <w:r>
        <w:rPr>
          <w:rStyle w:val="Style14"/>
          <w:rStyle w:val="Style20"/>
          <w:rFonts w:cs="Garamond" w:ascii="Garamond" w:hAnsi="Garamond"/>
          <w:sz w:val="26"/>
          <w:szCs w:val="26"/>
        </w:rPr>
        <w:footnoteReference w:id="2"/>
      </w:r>
    </w:p>
    <w:p>
      <w:pPr>
        <w:pStyle w:val="Normal"/>
        <w:ind w:end="-31" w:firstLine="720"/>
        <w:jc w:val="both"/>
        <w:rPr>
          <w:rFonts w:ascii="Garamond" w:hAnsi="Garamond" w:cs="Garamond"/>
          <w:sz w:val="22"/>
          <w:szCs w:val="22"/>
        </w:rPr>
      </w:pPr>
      <w:r>
        <w:rPr>
          <w:rFonts w:cs="Garamond" w:ascii="Garamond" w:hAnsi="Garamond"/>
          <w:sz w:val="22"/>
          <w:szCs w:val="22"/>
        </w:rPr>
        <w:t xml:space="preserve">Статья посвящена атрибуции одной золотой и двух медных монет, обнаруженных Российской археологической экспедицией ИВ РАН в древнеегипетском некрополе Гиза. Монеты происходят из перемешанных слоев заполнения погребальных шахт гробниц, вырубленных во второй половине </w:t>
      </w:r>
      <w:r>
        <w:rPr>
          <w:rFonts w:cs="Garamond" w:ascii="Garamond" w:hAnsi="Garamond"/>
          <w:sz w:val="22"/>
          <w:szCs w:val="22"/>
          <w:lang w:val="en-US"/>
        </w:rPr>
        <w:t>III</w:t>
      </w:r>
      <w:r>
        <w:rPr>
          <w:rFonts w:cs="Garamond" w:ascii="Garamond" w:hAnsi="Garamond"/>
          <w:sz w:val="22"/>
          <w:szCs w:val="22"/>
        </w:rPr>
        <w:t xml:space="preserve"> тыс. до н. э., и по характеру находки относятся к этапам разрушения древних захоронений, происходивших на протяжении средневековья, нового и новейшего времени. Одна из монет является мамлюкским фельсом и датируется первой половиной </w:t>
      </w:r>
      <w:r>
        <w:rPr>
          <w:rFonts w:cs="Garamond" w:ascii="Garamond" w:hAnsi="Garamond"/>
          <w:sz w:val="22"/>
          <w:szCs w:val="22"/>
          <w:lang w:val="en-US"/>
        </w:rPr>
        <w:t>XIV</w:t>
      </w:r>
      <w:r>
        <w:rPr>
          <w:rFonts w:cs="Garamond" w:ascii="Garamond" w:hAnsi="Garamond"/>
          <w:sz w:val="22"/>
          <w:szCs w:val="22"/>
        </w:rPr>
        <w:t xml:space="preserve"> в. н. э., две других относятся к 1830-м гг. — периоду Османского владычества в Египте, и атрибутированы как золотой </w:t>
      </w:r>
      <w:r>
        <w:rPr>
          <w:rFonts w:cs="Garamond" w:ascii="Garamond" w:hAnsi="Garamond"/>
          <w:i/>
          <w:sz w:val="22"/>
          <w:szCs w:val="22"/>
        </w:rPr>
        <w:t>бучук хайрие</w:t>
      </w:r>
      <w:r>
        <w:rPr>
          <w:rFonts w:cs="Garamond" w:ascii="Garamond" w:hAnsi="Garamond"/>
          <w:sz w:val="22"/>
          <w:szCs w:val="22"/>
        </w:rPr>
        <w:t xml:space="preserve"> и его медная имитация, вероятно, фальшивка. Монеты редки для древнего некрополя и в основном ограничены экземплярами </w:t>
      </w:r>
      <w:r>
        <w:rPr>
          <w:rFonts w:cs="Garamond" w:ascii="Garamond" w:hAnsi="Garamond"/>
          <w:sz w:val="22"/>
          <w:szCs w:val="22"/>
          <w:lang w:val="en-US"/>
        </w:rPr>
        <w:t>XIX</w:t>
      </w:r>
      <w:r>
        <w:rPr>
          <w:rFonts w:cs="Garamond" w:ascii="Garamond" w:hAnsi="Garamond"/>
          <w:sz w:val="22"/>
          <w:szCs w:val="22"/>
        </w:rPr>
        <w:t>–</w:t>
      </w:r>
      <w:r>
        <w:rPr>
          <w:rFonts w:cs="Garamond" w:ascii="Garamond" w:hAnsi="Garamond"/>
          <w:sz w:val="22"/>
          <w:szCs w:val="22"/>
          <w:lang w:val="en-US"/>
        </w:rPr>
        <w:t>XX</w:t>
      </w:r>
      <w:r>
        <w:rPr>
          <w:rFonts w:cs="Garamond" w:ascii="Garamond" w:hAnsi="Garamond"/>
          <w:sz w:val="22"/>
          <w:szCs w:val="22"/>
        </w:rPr>
        <w:t xml:space="preserve"> вв. В целом, учитывая многочисленные находки других предметов — фрагментов керамической, фарфоровой и стеклянной посуды, металлических изделий, стеклянных и медных украшений, можно говорить об активном характере человеческой деятельности на древнеегипетском кладбище во </w:t>
      </w:r>
      <w:r>
        <w:rPr>
          <w:rFonts w:cs="Garamond" w:ascii="Garamond" w:hAnsi="Garamond"/>
          <w:sz w:val="22"/>
          <w:szCs w:val="22"/>
          <w:lang w:val="en-US"/>
        </w:rPr>
        <w:t>II </w:t>
      </w:r>
      <w:r>
        <w:rPr>
          <w:rFonts w:cs="Garamond" w:ascii="Garamond" w:hAnsi="Garamond"/>
          <w:sz w:val="22"/>
          <w:szCs w:val="22"/>
        </w:rPr>
        <w:t>тыс. н. э. Египтяне и европейские путешественники использовали древние скальные гробницы как места постоянных обиталищ или временных стоянок, оставляя после себя материальные следы своего пребывания.</w:t>
      </w:r>
    </w:p>
    <w:p>
      <w:pPr>
        <w:pStyle w:val="Normal"/>
        <w:ind w:end="-31" w:firstLine="720"/>
        <w:jc w:val="both"/>
        <w:rPr>
          <w:rFonts w:ascii="Garamond" w:hAnsi="Garamond" w:cs="Garamond"/>
          <w:sz w:val="22"/>
          <w:szCs w:val="22"/>
        </w:rPr>
      </w:pPr>
      <w:r>
        <w:rPr>
          <w:rFonts w:cs="Garamond" w:ascii="Garamond" w:hAnsi="Garamond"/>
          <w:i/>
          <w:sz w:val="22"/>
          <w:szCs w:val="22"/>
        </w:rPr>
        <w:t>Ключевые слова:</w:t>
      </w:r>
      <w:r>
        <w:rPr>
          <w:rFonts w:cs="Garamond" w:ascii="Garamond" w:hAnsi="Garamond"/>
          <w:sz w:val="22"/>
          <w:szCs w:val="22"/>
        </w:rPr>
        <w:t xml:space="preserve"> Египет, Гиза, нумизматика, мамлюки, османы, Российская археологическая экспедиция ИВ РАН в Гизе.</w:t>
      </w:r>
    </w:p>
    <w:p>
      <w:pPr>
        <w:pStyle w:val="Normal"/>
        <w:ind w:end="-31" w:firstLine="720"/>
        <w:jc w:val="both"/>
        <w:rPr>
          <w:rFonts w:ascii="Garamond" w:hAnsi="Garamond" w:cs="Garamond"/>
          <w:sz w:val="22"/>
          <w:szCs w:val="22"/>
          <w:lang w:val="en-US"/>
        </w:rPr>
      </w:pPr>
      <w:r>
        <w:rPr>
          <w:rFonts w:cs="Garamond" w:ascii="Garamond" w:hAnsi="Garamond"/>
          <w:i/>
          <w:iCs/>
          <w:sz w:val="22"/>
          <w:szCs w:val="22"/>
        </w:rPr>
        <w:t>Для цитирования:</w:t>
      </w:r>
      <w:r>
        <w:rPr>
          <w:rFonts w:cs="Garamond" w:ascii="Garamond" w:hAnsi="Garamond"/>
          <w:sz w:val="22"/>
          <w:szCs w:val="22"/>
        </w:rPr>
        <w:t xml:space="preserve"> Гончаров Е. Ю., Малых</w:t>
      </w:r>
      <w:r>
        <w:rPr>
          <w:rStyle w:val="Xformhint"/>
          <w:rFonts w:cs="Garamond" w:ascii="Garamond" w:hAnsi="Garamond"/>
          <w:iCs/>
          <w:sz w:val="22"/>
          <w:szCs w:val="22"/>
        </w:rPr>
        <w:t> </w:t>
      </w:r>
      <w:r>
        <w:rPr>
          <w:rFonts w:cs="Garamond" w:ascii="Garamond" w:hAnsi="Garamond"/>
          <w:sz w:val="22"/>
          <w:szCs w:val="22"/>
        </w:rPr>
        <w:t xml:space="preserve">С. Е. Исламские монеты из Восточной Гизы (Египет). </w:t>
      </w:r>
      <w:r>
        <w:rPr>
          <w:rFonts w:cs="Garamond" w:ascii="Garamond" w:hAnsi="Garamond"/>
          <w:i/>
          <w:sz w:val="22"/>
          <w:szCs w:val="22"/>
        </w:rPr>
        <w:t>Вестник Института востоковедения РАН</w:t>
      </w:r>
      <w:r>
        <w:rPr>
          <w:rFonts w:cs="Garamond" w:ascii="Garamond" w:hAnsi="Garamond"/>
          <w:sz w:val="22"/>
          <w:szCs w:val="22"/>
        </w:rPr>
        <w:t xml:space="preserve">. 2020. </w:t>
      </w:r>
      <w:r>
        <w:rPr>
          <w:rFonts w:cs="Garamond" w:ascii="Garamond" w:hAnsi="Garamond"/>
          <w:sz w:val="22"/>
          <w:szCs w:val="22"/>
          <w:lang w:val="en-US"/>
        </w:rPr>
        <w:t xml:space="preserve">№ 3. </w:t>
      </w:r>
      <w:r>
        <w:rPr>
          <w:rFonts w:cs="Garamond" w:ascii="Garamond" w:hAnsi="Garamond"/>
          <w:sz w:val="22"/>
          <w:szCs w:val="22"/>
        </w:rPr>
        <w:t>С</w:t>
      </w:r>
      <w:r>
        <w:rPr>
          <w:rFonts w:cs="Garamond" w:ascii="Garamond" w:hAnsi="Garamond"/>
          <w:sz w:val="22"/>
          <w:szCs w:val="22"/>
          <w:lang w:val="en-US"/>
        </w:rPr>
        <w:t>. 57–</w:t>
      </w:r>
      <w:r>
        <w:rPr>
          <w:rFonts w:cs="Garamond" w:ascii="Garamond" w:hAnsi="Garamond"/>
          <w:sz w:val="22"/>
          <w:szCs w:val="22"/>
        </w:rPr>
        <w:t>62</w:t>
      </w:r>
      <w:r>
        <w:rPr>
          <w:rFonts w:cs="Garamond" w:ascii="Garamond" w:hAnsi="Garamond"/>
          <w:sz w:val="22"/>
          <w:szCs w:val="22"/>
          <w:lang w:val="en-US"/>
        </w:rPr>
        <w:t>. DOI: 10.31696/2618-7302-2020-3-57-</w:t>
      </w:r>
      <w:r>
        <w:rPr>
          <w:rFonts w:cs="Garamond" w:ascii="Garamond" w:hAnsi="Garamond"/>
          <w:sz w:val="22"/>
          <w:szCs w:val="22"/>
        </w:rPr>
        <w:t>62</w:t>
      </w:r>
    </w:p>
    <w:p>
      <w:pPr>
        <w:pStyle w:val="Normal"/>
        <w:ind w:end="-31" w:firstLine="720"/>
        <w:jc w:val="both"/>
        <w:rPr>
          <w:rFonts w:ascii="Garamond" w:hAnsi="Garamond" w:cs="Garamond"/>
          <w:sz w:val="22"/>
          <w:szCs w:val="22"/>
          <w:lang w:val="en-US"/>
        </w:rPr>
      </w:pPr>
      <w:r>
        <w:rPr>
          <w:rFonts w:cs="Garamond" w:ascii="Garamond" w:hAnsi="Garamond"/>
          <w:sz w:val="22"/>
          <w:szCs w:val="22"/>
          <w:lang w:val="en-US"/>
        </w:rPr>
      </w:r>
    </w:p>
    <w:p>
      <w:pPr>
        <w:pStyle w:val="Normal"/>
        <w:spacing w:lineRule="auto" w:line="360"/>
        <w:ind w:end="-31" w:hanging="0"/>
        <w:jc w:val="center"/>
        <w:rPr>
          <w:rFonts w:ascii="Garamond" w:hAnsi="Garamond" w:cs="Garamond"/>
          <w:b/>
          <w:b/>
          <w:sz w:val="26"/>
          <w:szCs w:val="26"/>
          <w:lang w:val="en-US"/>
        </w:rPr>
      </w:pPr>
      <w:r>
        <w:rPr>
          <w:rFonts w:cs="Garamond" w:ascii="Garamond" w:hAnsi="Garamond"/>
          <w:b/>
          <w:sz w:val="26"/>
          <w:szCs w:val="26"/>
          <w:lang w:val="en-US"/>
        </w:rPr>
        <w:t>ISLAMIC COINS FROM EASTERN GIZA (EGYPT)</w:t>
      </w:r>
    </w:p>
    <w:p>
      <w:pPr>
        <w:pStyle w:val="Normal"/>
        <w:spacing w:lineRule="auto" w:line="360"/>
        <w:ind w:end="-31" w:hanging="0"/>
        <w:jc w:val="center"/>
        <w:rPr>
          <w:rFonts w:ascii="Garamond" w:hAnsi="Garamond" w:cs="Garamond"/>
          <w:b/>
          <w:b/>
          <w:sz w:val="26"/>
          <w:szCs w:val="26"/>
          <w:lang w:val="en-US"/>
        </w:rPr>
      </w:pPr>
      <w:r>
        <w:rPr>
          <w:rFonts w:cs="Garamond" w:ascii="Garamond" w:hAnsi="Garamond"/>
          <w:b/>
          <w:sz w:val="26"/>
          <w:szCs w:val="26"/>
          <w:lang w:val="en-US"/>
        </w:rPr>
        <w:t>Evgeny Yu. Goncharov, Svetlana E. Malykh</w:t>
      </w:r>
    </w:p>
    <w:p>
      <w:pPr>
        <w:sectPr>
          <w:footerReference w:type="default" r:id="rId2"/>
          <w:footnotePr>
            <w:numFmt w:val="decimal"/>
            <w:numRestart w:val="eachSect"/>
          </w:footnotePr>
          <w:type w:val="nextPage"/>
          <w:pgSz w:w="11057" w:h="14740"/>
          <w:pgMar w:left="1134" w:right="1134" w:header="0" w:top="1134" w:footer="709" w:bottom="1134" w:gutter="0"/>
          <w:pgNumType w:start="57" w:fmt="decimal"/>
          <w:formProt w:val="false"/>
          <w:textDirection w:val="lrTb"/>
          <w:docGrid w:type="default" w:linePitch="360" w:charSpace="0"/>
        </w:sectPr>
        <w:pStyle w:val="Normal"/>
        <w:ind w:end="-31" w:firstLine="720"/>
        <w:jc w:val="both"/>
        <w:rPr>
          <w:rFonts w:ascii="Garamond" w:hAnsi="Garamond" w:cs="Garamond"/>
          <w:sz w:val="22"/>
          <w:szCs w:val="22"/>
          <w:lang w:val="en-US"/>
        </w:rPr>
      </w:pPr>
      <w:r>
        <w:rPr>
          <w:rFonts w:cs="Garamond" w:ascii="Garamond" w:hAnsi="Garamond"/>
          <w:sz w:val="22"/>
          <w:szCs w:val="22"/>
          <w:lang w:val="en-US"/>
        </w:rPr>
        <w:t>The article focuses on the attribution of one gold and two copper coins discovered by the Russian Archaeological Mission of the Institute of Oriental Studies RAS in the ancient Egyptian necropolis of Giza. Coins come from mixed fillings of the burial shafts of the Ancient Egyptian rock-cut tombs of the second half of the 3</w:t>
      </w:r>
      <w:r>
        <w:rPr>
          <w:rFonts w:cs="Garamond" w:ascii="Garamond" w:hAnsi="Garamond"/>
          <w:sz w:val="22"/>
          <w:szCs w:val="22"/>
          <w:vertAlign w:val="superscript"/>
          <w:lang w:val="en-US"/>
        </w:rPr>
        <w:t>rd</w:t>
      </w:r>
      <w:r>
        <w:rPr>
          <w:rFonts w:cs="Garamond" w:ascii="Garamond" w:hAnsi="Garamond"/>
          <w:sz w:val="22"/>
          <w:szCs w:val="22"/>
          <w:lang w:val="en-US"/>
        </w:rPr>
        <w:t xml:space="preserve"> millennium B.C. According to the archaeological context, the coins belong to the stages of the destruction of ancient burials that took place during   </w:t>
      </w:r>
    </w:p>
    <w:p>
      <w:pPr>
        <w:pStyle w:val="Normal"/>
        <w:ind w:end="-31" w:hanging="0"/>
        <w:jc w:val="both"/>
        <w:rPr>
          <w:rFonts w:ascii="Garamond" w:hAnsi="Garamond" w:cs="Garamond"/>
          <w:sz w:val="22"/>
          <w:szCs w:val="22"/>
          <w:lang w:val="en-US"/>
        </w:rPr>
      </w:pPr>
      <w:r>
        <w:rPr>
          <w:rFonts w:cs="Garamond" w:ascii="Garamond" w:hAnsi="Garamond"/>
          <w:sz w:val="22"/>
          <w:szCs w:val="22"/>
          <w:lang w:val="en-US"/>
        </w:rPr>
        <w:t xml:space="preserve">the Middle Ages and Modern times. One of the coins is a Mamluk </w:t>
      </w:r>
      <w:r>
        <w:rPr>
          <w:rFonts w:cs="Garamond" w:ascii="Garamond" w:hAnsi="Garamond"/>
          <w:i/>
          <w:sz w:val="22"/>
          <w:szCs w:val="22"/>
          <w:lang w:val="en-US"/>
        </w:rPr>
        <w:t>fals</w:t>
      </w:r>
      <w:r>
        <w:rPr>
          <w:rFonts w:cs="Garamond" w:ascii="Garamond" w:hAnsi="Garamond"/>
          <w:sz w:val="22"/>
          <w:szCs w:val="22"/>
          <w:lang w:val="en-US"/>
        </w:rPr>
        <w:t xml:space="preserve"> dating back to the first half of the 14</w:t>
      </w:r>
      <w:r>
        <w:rPr>
          <w:rFonts w:cs="Garamond" w:ascii="Garamond" w:hAnsi="Garamond"/>
          <w:sz w:val="22"/>
          <w:szCs w:val="22"/>
          <w:vertAlign w:val="superscript"/>
          <w:lang w:val="en-US"/>
        </w:rPr>
        <w:t>th</w:t>
      </w:r>
      <w:r>
        <w:rPr>
          <w:rFonts w:cs="Garamond" w:ascii="Garamond" w:hAnsi="Garamond"/>
          <w:sz w:val="22"/>
          <w:szCs w:val="22"/>
          <w:lang w:val="en-US"/>
        </w:rPr>
        <w:t xml:space="preserve"> century A.D., the other two belong to the 1830s — the Ottoman period in Egypt, and are attributed as gold a </w:t>
      </w:r>
      <w:r>
        <w:rPr>
          <w:rFonts w:cs="Garamond" w:ascii="Garamond" w:hAnsi="Garamond"/>
          <w:i/>
          <w:sz w:val="22"/>
          <w:szCs w:val="22"/>
          <w:lang w:val="en-US"/>
        </w:rPr>
        <w:t>buchuk hayriye</w:t>
      </w:r>
      <w:r>
        <w:rPr>
          <w:rFonts w:cs="Garamond" w:ascii="Garamond" w:hAnsi="Garamond"/>
          <w:sz w:val="22"/>
          <w:szCs w:val="22"/>
          <w:lang w:val="en-US"/>
        </w:rPr>
        <w:t xml:space="preserve"> and its copper imitation. Coins are rare for the ancient necropolis and are mainly limited to specimens of the 19</w:t>
      </w:r>
      <w:r>
        <w:rPr>
          <w:rFonts w:cs="Garamond" w:ascii="Garamond" w:hAnsi="Garamond"/>
          <w:sz w:val="22"/>
          <w:szCs w:val="22"/>
          <w:vertAlign w:val="superscript"/>
          <w:lang w:val="en-US"/>
        </w:rPr>
        <w:t>th</w:t>
      </w:r>
      <w:r>
        <w:rPr>
          <w:rFonts w:cs="Garamond" w:ascii="Garamond" w:hAnsi="Garamond"/>
          <w:sz w:val="22"/>
          <w:szCs w:val="22"/>
          <w:lang w:val="en-US"/>
        </w:rPr>
        <w:t>–20</w:t>
      </w:r>
      <w:r>
        <w:rPr>
          <w:rFonts w:cs="Garamond" w:ascii="Garamond" w:hAnsi="Garamond"/>
          <w:sz w:val="22"/>
          <w:szCs w:val="22"/>
          <w:vertAlign w:val="superscript"/>
          <w:lang w:val="en-US"/>
        </w:rPr>
        <w:t>th</w:t>
      </w:r>
      <w:r>
        <w:rPr>
          <w:rFonts w:cs="Garamond" w:ascii="Garamond" w:hAnsi="Garamond"/>
          <w:sz w:val="22"/>
          <w:szCs w:val="22"/>
          <w:lang w:val="en-US"/>
        </w:rPr>
        <w:t xml:space="preserve"> centuries. In general, taking into account the numerous finds of other objects — fragments of ceramic, porcelain and glass utensils, metal ware, glass and copper decorations, we can talk about the dynamic nature of human activity in the ancient Egyptian cemetery in the 2</w:t>
      </w:r>
      <w:r>
        <w:rPr>
          <w:rFonts w:cs="Garamond" w:ascii="Garamond" w:hAnsi="Garamond"/>
          <w:sz w:val="22"/>
          <w:szCs w:val="22"/>
          <w:vertAlign w:val="superscript"/>
          <w:lang w:val="en-US"/>
        </w:rPr>
        <w:t>nd</w:t>
      </w:r>
      <w:r>
        <w:rPr>
          <w:rFonts w:cs="Garamond" w:ascii="Garamond" w:hAnsi="Garamond"/>
          <w:sz w:val="22"/>
          <w:szCs w:val="22"/>
          <w:lang w:val="en-US"/>
        </w:rPr>
        <w:t xml:space="preserve"> millennium A.D. Egyptians and European travelers used the ancient rock-cut tombs as permanent habitats or temporary sites, leaving material traces of their stay.</w:t>
      </w:r>
    </w:p>
    <w:p>
      <w:pPr>
        <w:pStyle w:val="Normal"/>
        <w:ind w:end="-31" w:firstLine="720"/>
        <w:jc w:val="both"/>
        <w:rPr>
          <w:rFonts w:ascii="Garamond" w:hAnsi="Garamond" w:cs="Garamond"/>
          <w:sz w:val="22"/>
          <w:szCs w:val="22"/>
          <w:lang w:val="en-US"/>
        </w:rPr>
      </w:pPr>
      <w:r>
        <w:rPr>
          <w:rFonts w:cs="Garamond" w:ascii="Garamond" w:hAnsi="Garamond"/>
          <w:i/>
          <w:sz w:val="22"/>
          <w:szCs w:val="22"/>
          <w:lang w:val="en-US"/>
        </w:rPr>
        <w:t>Keywords:</w:t>
      </w:r>
      <w:r>
        <w:rPr>
          <w:rFonts w:cs="Garamond" w:ascii="Garamond" w:hAnsi="Garamond"/>
          <w:sz w:val="22"/>
          <w:szCs w:val="22"/>
          <w:lang w:val="en-US"/>
        </w:rPr>
        <w:t xml:space="preserve"> Egypt, Giza, numismatics, Mamluks, Ottomans, Russian Archaeological Mission of the Institute of Oriental Studies RAS at Giza.</w:t>
      </w:r>
    </w:p>
    <w:p>
      <w:pPr>
        <w:pStyle w:val="Normal"/>
        <w:ind w:end="-31" w:firstLine="720"/>
        <w:jc w:val="both"/>
        <w:rPr>
          <w:rFonts w:ascii="Garamond" w:hAnsi="Garamond" w:cs="Garamond"/>
          <w:sz w:val="22"/>
          <w:szCs w:val="22"/>
        </w:rPr>
      </w:pPr>
      <w:r>
        <w:rPr>
          <w:rFonts w:cs="Garamond" w:ascii="Garamond" w:hAnsi="Garamond"/>
          <w:i/>
          <w:iCs/>
          <w:sz w:val="22"/>
          <w:szCs w:val="22"/>
          <w:lang w:val="en-US"/>
        </w:rPr>
        <w:t>For citation:</w:t>
      </w:r>
      <w:r>
        <w:rPr>
          <w:rFonts w:cs="Garamond" w:ascii="Garamond" w:hAnsi="Garamond"/>
          <w:sz w:val="22"/>
          <w:szCs w:val="22"/>
          <w:lang w:val="en-US"/>
        </w:rPr>
        <w:t xml:space="preserve"> Goncharov E. Yu., </w:t>
      </w:r>
      <w:r>
        <w:rPr>
          <w:rFonts w:cs="Garamond" w:ascii="Garamond" w:hAnsi="Garamond"/>
          <w:bCs/>
          <w:sz w:val="22"/>
          <w:szCs w:val="22"/>
          <w:lang w:val="en-US"/>
        </w:rPr>
        <w:t xml:space="preserve">Malykh S. E. </w:t>
      </w:r>
      <w:r>
        <w:rPr>
          <w:rFonts w:cs="Garamond" w:ascii="Garamond" w:hAnsi="Garamond"/>
          <w:sz w:val="22"/>
          <w:szCs w:val="22"/>
          <w:lang w:val="en-US"/>
        </w:rPr>
        <w:t xml:space="preserve">Islamic Coins from Eastern Giza (Egypt).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 xml:space="preserve">57–62. </w:t>
      </w:r>
      <w:r>
        <w:rPr>
          <w:rFonts w:cs="Garamond" w:ascii="Garamond" w:hAnsi="Garamond"/>
          <w:sz w:val="22"/>
          <w:szCs w:val="22"/>
          <w:lang w:val="en-US"/>
        </w:rPr>
        <w:t>DOI</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10.31696/2618-7302-2020-3-57-62</w:t>
      </w:r>
    </w:p>
    <w:p>
      <w:pPr>
        <w:pStyle w:val="Normal"/>
        <w:ind w:end="-31" w:firstLine="720"/>
        <w:jc w:val="both"/>
        <w:rPr>
          <w:rFonts w:ascii="Garamond" w:hAnsi="Garamond" w:cs="Garamond"/>
          <w:sz w:val="22"/>
          <w:szCs w:val="22"/>
        </w:rPr>
      </w:pPr>
      <w:r>
        <w:rPr>
          <w:rFonts w:cs="Garamond" w:ascii="Garamond" w:hAnsi="Garamond"/>
          <w:sz w:val="22"/>
          <w:szCs w:val="22"/>
        </w:rPr>
      </w:r>
    </w:p>
    <w:p>
      <w:pPr>
        <w:pStyle w:val="Normal"/>
        <w:ind w:end="-31" w:hanging="0"/>
        <w:jc w:val="both"/>
        <w:rPr/>
      </w:pPr>
      <w:r>
        <w:rPr/>
        <w:t>Р</w:t>
      </w:r>
      <w:r>
        <w:rPr>
          <w:rFonts w:cs="Garamond" w:ascii="Garamond" w:hAnsi="Garamond"/>
          <w:sz w:val="24"/>
          <w:szCs w:val="24"/>
        </w:rPr>
        <w:t xml:space="preserve">аботы Российской археологической экспедиции ИВ РАН в Гизе (Египет) сконцентрированы на исследовании древнеегипетского некрополя времени </w:t>
      </w:r>
      <w:r>
        <w:rPr>
          <w:rFonts w:cs="Garamond" w:ascii="Garamond" w:hAnsi="Garamond"/>
          <w:sz w:val="24"/>
          <w:szCs w:val="24"/>
          <w:lang w:val="en-US"/>
        </w:rPr>
        <w:t>III</w:t>
      </w:r>
      <w:r>
        <w:rPr>
          <w:rFonts w:cs="Garamond" w:ascii="Garamond" w:hAnsi="Garamond"/>
          <w:sz w:val="24"/>
          <w:szCs w:val="24"/>
        </w:rPr>
        <w:t xml:space="preserve"> тыс. до н. э. Однако этот памятник является многослойным, а находки включают как оригинальные захоронения эпохи Древнего царства, так и вторичные погребальные и жилые комплексы </w:t>
      </w:r>
      <w:r>
        <w:rPr>
          <w:rFonts w:cs="Garamond" w:ascii="Garamond" w:hAnsi="Garamond"/>
          <w:sz w:val="24"/>
          <w:szCs w:val="24"/>
          <w:lang w:val="en-US"/>
        </w:rPr>
        <w:t>I</w:t>
      </w:r>
      <w:r>
        <w:rPr>
          <w:rFonts w:cs="Garamond" w:ascii="Garamond" w:hAnsi="Garamond"/>
          <w:sz w:val="24"/>
          <w:szCs w:val="24"/>
        </w:rPr>
        <w:t xml:space="preserve"> тыс. до н. э. — </w:t>
      </w:r>
      <w:r>
        <w:rPr>
          <w:rFonts w:cs="Garamond" w:ascii="Garamond" w:hAnsi="Garamond"/>
          <w:sz w:val="24"/>
          <w:szCs w:val="24"/>
          <w:lang w:val="en-US"/>
        </w:rPr>
        <w:t>II</w:t>
      </w:r>
      <w:r>
        <w:rPr>
          <w:rFonts w:cs="Garamond" w:ascii="Garamond" w:hAnsi="Garamond"/>
          <w:sz w:val="24"/>
          <w:szCs w:val="24"/>
        </w:rPr>
        <w:t> тыс. н. э., а также многочисленные следы древних и сравнительно современных (</w:t>
      </w:r>
      <w:r>
        <w:rPr>
          <w:rFonts w:cs="Garamond" w:ascii="Garamond" w:hAnsi="Garamond"/>
          <w:sz w:val="24"/>
          <w:szCs w:val="24"/>
          <w:lang w:val="en-US"/>
        </w:rPr>
        <w:t>XIX</w:t>
      </w:r>
      <w:r>
        <w:rPr>
          <w:rFonts w:cs="Garamond" w:ascii="Garamond" w:hAnsi="Garamond"/>
          <w:sz w:val="24"/>
          <w:szCs w:val="24"/>
        </w:rPr>
        <w:t> в.) грабежей.</w:t>
      </w:r>
    </w:p>
    <w:p>
      <w:pPr>
        <w:pStyle w:val="Normal"/>
        <w:ind w:end="-31" w:firstLine="720"/>
        <w:jc w:val="both"/>
        <w:rPr>
          <w:rFonts w:ascii="Garamond" w:hAnsi="Garamond" w:cs="Garamond"/>
          <w:sz w:val="24"/>
          <w:szCs w:val="24"/>
        </w:rPr>
      </w:pPr>
      <w:r>
        <w:rPr>
          <w:rFonts w:cs="Garamond" w:ascii="Garamond" w:hAnsi="Garamond"/>
          <w:sz w:val="24"/>
          <w:szCs w:val="24"/>
        </w:rPr>
        <w:t>Несмотря на обилие поздних находок, представляющих собой черепки керамики средневекового и нового времени, осколки стеклянных и фарфоровых сосудов, обломки стеклянных браслетов и разрозненные бусины, металлические орудия и сосуды, монеты в восточной части Гизы мы обнаруживаем сравнительно редко. За 24 сезона полевых исследований было найдено всего 12 монет: четыре античных (в том числе медная майорина императора Констанция II (324–361 гг. н. э.) [</w:t>
      </w:r>
      <w:r>
        <w:rPr>
          <w:rFonts w:cs="Garamond" w:ascii="Garamond" w:hAnsi="Garamond"/>
          <w:sz w:val="24"/>
          <w:szCs w:val="24"/>
          <w:lang w:val="en-US"/>
        </w:rPr>
        <w:t>Kormysheva</w:t>
      </w:r>
      <w:r>
        <w:rPr>
          <w:rFonts w:cs="Garamond" w:ascii="Garamond" w:hAnsi="Garamond"/>
          <w:sz w:val="24"/>
          <w:szCs w:val="24"/>
        </w:rPr>
        <w:t xml:space="preserve"> </w:t>
      </w:r>
      <w:r>
        <w:rPr>
          <w:rFonts w:cs="Garamond" w:ascii="Garamond" w:hAnsi="Garamond"/>
          <w:sz w:val="24"/>
          <w:szCs w:val="24"/>
          <w:lang w:val="en-US"/>
        </w:rPr>
        <w:t>et</w:t>
      </w:r>
      <w:r>
        <w:rPr>
          <w:rFonts w:cs="Garamond" w:ascii="Garamond" w:hAnsi="Garamond"/>
          <w:sz w:val="24"/>
          <w:szCs w:val="24"/>
        </w:rPr>
        <w:t xml:space="preserve"> </w:t>
      </w:r>
      <w:r>
        <w:rPr>
          <w:rFonts w:cs="Garamond" w:ascii="Garamond" w:hAnsi="Garamond"/>
          <w:sz w:val="24"/>
          <w:szCs w:val="24"/>
          <w:lang w:val="en-US"/>
        </w:rPr>
        <w:t>al</w:t>
      </w:r>
      <w:r>
        <w:rPr>
          <w:rFonts w:cs="Garamond" w:ascii="Garamond" w:hAnsi="Garamond"/>
          <w:sz w:val="24"/>
          <w:szCs w:val="24"/>
        </w:rPr>
        <w:t xml:space="preserve">., 2018, </w:t>
      </w:r>
      <w:r>
        <w:rPr>
          <w:rFonts w:cs="Garamond" w:ascii="Garamond" w:hAnsi="Garamond"/>
          <w:sz w:val="24"/>
          <w:szCs w:val="24"/>
          <w:lang w:val="en-US"/>
        </w:rPr>
        <w:t>p</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 xml:space="preserve">171, </w:t>
      </w:r>
      <w:r>
        <w:rPr>
          <w:rFonts w:cs="Garamond" w:ascii="Garamond" w:hAnsi="Garamond"/>
          <w:sz w:val="24"/>
          <w:szCs w:val="24"/>
          <w:lang w:val="en-US"/>
        </w:rPr>
        <w:t>fig</w:t>
      </w:r>
      <w:r>
        <w:rPr>
          <w:rFonts w:cs="Garamond" w:ascii="Garamond" w:hAnsi="Garamond"/>
          <w:sz w:val="24"/>
          <w:szCs w:val="24"/>
        </w:rPr>
        <w:t>.</w:t>
      </w:r>
      <w:r>
        <w:rPr>
          <w:rFonts w:cs="Garamond" w:ascii="Garamond" w:hAnsi="Garamond"/>
          <w:sz w:val="24"/>
          <w:szCs w:val="24"/>
          <w:lang w:val="en-US"/>
        </w:rPr>
        <w:t> </w:t>
      </w:r>
      <w:r>
        <w:rPr>
          <w:rFonts w:cs="Garamond" w:ascii="Garamond" w:hAnsi="Garamond"/>
          <w:sz w:val="24"/>
          <w:szCs w:val="24"/>
        </w:rPr>
        <w:t xml:space="preserve">35, </w:t>
      </w:r>
      <w:r>
        <w:rPr>
          <w:rFonts w:cs="Garamond" w:ascii="Garamond" w:hAnsi="Garamond"/>
          <w:sz w:val="24"/>
          <w:szCs w:val="24"/>
          <w:lang w:val="en-US"/>
        </w:rPr>
        <w:t>pl</w:t>
      </w:r>
      <w:r>
        <w:rPr>
          <w:rFonts w:cs="Garamond" w:ascii="Garamond" w:hAnsi="Garamond"/>
          <w:sz w:val="24"/>
          <w:szCs w:val="24"/>
        </w:rPr>
        <w:t>.</w:t>
      </w:r>
      <w:r>
        <w:rPr>
          <w:rFonts w:cs="Garamond" w:ascii="Garamond" w:hAnsi="Garamond"/>
          <w:sz w:val="24"/>
          <w:szCs w:val="24"/>
          <w:lang w:val="en-US"/>
        </w:rPr>
        <w:t> CXVI</w:t>
      </w:r>
      <w:r>
        <w:rPr>
          <w:rFonts w:cs="Garamond" w:ascii="Garamond" w:hAnsi="Garamond"/>
          <w:sz w:val="24"/>
          <w:szCs w:val="24"/>
        </w:rPr>
        <w:t xml:space="preserve">], медный мамлюкский фельс первой половины </w:t>
      </w:r>
      <w:r>
        <w:rPr>
          <w:rFonts w:cs="Garamond" w:ascii="Garamond" w:hAnsi="Garamond"/>
          <w:sz w:val="24"/>
          <w:szCs w:val="24"/>
          <w:lang w:val="en-US"/>
        </w:rPr>
        <w:t>XIV</w:t>
      </w:r>
      <w:r>
        <w:rPr>
          <w:rFonts w:cs="Garamond" w:ascii="Garamond" w:hAnsi="Garamond"/>
          <w:sz w:val="24"/>
          <w:szCs w:val="24"/>
        </w:rPr>
        <w:t xml:space="preserve"> в., золотая и медная османские монеты первой половины </w:t>
      </w:r>
      <w:r>
        <w:rPr>
          <w:rFonts w:cs="Garamond" w:ascii="Garamond" w:hAnsi="Garamond"/>
          <w:sz w:val="24"/>
          <w:szCs w:val="24"/>
          <w:lang w:val="en-US"/>
        </w:rPr>
        <w:t>XIX</w:t>
      </w:r>
      <w:r>
        <w:rPr>
          <w:rFonts w:cs="Garamond" w:ascii="Garamond" w:hAnsi="Garamond"/>
          <w:sz w:val="24"/>
          <w:szCs w:val="24"/>
        </w:rPr>
        <w:t> в. и в целом синхронная им серебряная четверть рупии 1840 г. Ост-индской компании с профилем британской королевы Виктории, 20 франков 1950–1954 гг. Четвертой республики из медно-алюминиевого сплава, 5 миллимов 1924 г. египетского короля Фуада медно-никелевого сплава  и  5  латунных  египетских  миллимов  1973 г.</w:t>
      </w:r>
      <w:r>
        <w:rPr>
          <w:rStyle w:val="Style14"/>
          <w:rStyle w:val="Style20"/>
          <w:rFonts w:cs="Garamond" w:ascii="Garamond" w:hAnsi="Garamond"/>
          <w:sz w:val="24"/>
          <w:szCs w:val="24"/>
        </w:rPr>
        <w:footnoteReference w:id="3"/>
      </w:r>
      <w:r>
        <w:rPr>
          <w:rFonts w:cs="Garamond" w:ascii="Garamond" w:hAnsi="Garamond"/>
          <w:sz w:val="24"/>
          <w:szCs w:val="24"/>
        </w:rPr>
        <w:t xml:space="preserve">  Все  они  происходят  из перемешанных слоев, заполнявших помещения скальных гробниц или прилегающие к ним территории, и не имеют четкого археологического контекста, однако само их присутствие свидетельствует о неоднократном посещении людьми этой части древнего некрополя.</w:t>
      </w:r>
    </w:p>
    <w:p>
      <w:pPr>
        <w:pStyle w:val="Normal"/>
        <w:ind w:end="-31" w:firstLine="720"/>
        <w:jc w:val="both"/>
        <w:rPr/>
      </w:pPr>
      <w:r>
        <w:rPr>
          <w:rFonts w:cs="Garamond" w:ascii="Garamond" w:hAnsi="Garamond"/>
          <w:sz w:val="24"/>
          <w:szCs w:val="24"/>
        </w:rPr>
        <w:t>В данной небольшой статье речь пойдет о трех монетах — мамлюкской и двух османских, найденных Российской экспедицией в Гизе.</w:t>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sz w:val="24"/>
          <w:szCs w:val="24"/>
        </w:rPr>
      </w:pPr>
      <w:r>
        <w:rPr>
          <w:rFonts w:cs="Garamond" w:ascii="Garamond" w:hAnsi="Garamond"/>
          <w:sz w:val="24"/>
          <w:szCs w:val="24"/>
        </w:rPr>
      </w:r>
    </w:p>
    <w:p>
      <w:pPr>
        <w:pStyle w:val="Normal"/>
        <w:ind w:end="-31" w:firstLine="720"/>
        <w:jc w:val="both"/>
        <w:rPr>
          <w:rFonts w:ascii="Garamond" w:hAnsi="Garamond" w:cs="Garamond"/>
          <w:b/>
          <w:b/>
          <w:smallCaps/>
          <w:sz w:val="24"/>
          <w:szCs w:val="24"/>
        </w:rPr>
      </w:pPr>
      <w:r>
        <w:rPr>
          <w:rFonts w:cs="Garamond" w:ascii="Garamond" w:hAnsi="Garamond"/>
          <w:b/>
          <w:smallCaps/>
          <w:sz w:val="24"/>
          <w:szCs w:val="24"/>
        </w:rPr>
        <w:t>Описание и атрибуция монет</w:t>
      </w:r>
    </w:p>
    <w:p>
      <w:pPr>
        <w:pStyle w:val="Normal"/>
        <w:ind w:end="-31" w:firstLine="720"/>
        <w:jc w:val="both"/>
        <w:rPr>
          <w:rFonts w:ascii="Garamond" w:hAnsi="Garamond" w:cs="Garamond"/>
          <w:b/>
          <w:b/>
          <w:smallCaps/>
          <w:sz w:val="8"/>
          <w:szCs w:val="8"/>
        </w:rPr>
      </w:pPr>
      <w:r>
        <w:rPr>
          <w:rFonts w:cs="Garamond" w:ascii="Garamond" w:hAnsi="Garamond"/>
          <w:b/>
          <w:smallCaps/>
          <w:sz w:val="8"/>
          <w:szCs w:val="8"/>
        </w:rPr>
      </w:r>
    </w:p>
    <w:p>
      <w:pPr>
        <w:pStyle w:val="Normal"/>
        <w:spacing w:before="0" w:after="0"/>
        <w:ind w:end="-31" w:firstLine="720"/>
        <w:contextualSpacing/>
        <w:jc w:val="both"/>
        <w:rPr/>
      </w:pPr>
      <w:r>
        <w:rPr>
          <w:rFonts w:cs="Garamond" w:ascii="Garamond" w:hAnsi="Garamond"/>
          <w:b/>
          <w:sz w:val="24"/>
          <w:szCs w:val="24"/>
        </w:rPr>
        <w:t>1</w:t>
      </w:r>
      <w:r>
        <w:rPr>
          <w:rFonts w:cs="Garamond" w:ascii="Garamond" w:hAnsi="Garamond"/>
          <w:sz w:val="24"/>
          <w:szCs w:val="24"/>
        </w:rPr>
        <w:t>. Фельс династии Мамлюков (</w:t>
      </w:r>
      <w:r>
        <w:rPr>
          <w:rFonts w:cs="Garamond" w:ascii="Garamond" w:hAnsi="Garamond"/>
          <w:i/>
          <w:sz w:val="24"/>
          <w:szCs w:val="24"/>
        </w:rPr>
        <w:t>илл. 1.1</w:t>
      </w:r>
      <w:r>
        <w:rPr>
          <w:rFonts w:cs="Garamond" w:ascii="Garamond" w:hAnsi="Garamond"/>
          <w:sz w:val="24"/>
          <w:szCs w:val="24"/>
        </w:rPr>
        <w:t>), султан ан-Насир Насир ад-дин Мухаммад </w:t>
      </w:r>
      <w:r>
        <w:rPr>
          <w:rFonts w:cs="Garamond" w:ascii="Garamond" w:hAnsi="Garamond"/>
          <w:sz w:val="24"/>
          <w:szCs w:val="24"/>
          <w:lang w:val="en-US"/>
        </w:rPr>
        <w:t>I</w:t>
      </w:r>
      <w:r>
        <w:rPr>
          <w:rFonts w:cs="Garamond" w:ascii="Garamond" w:hAnsi="Garamond"/>
          <w:sz w:val="24"/>
          <w:szCs w:val="24"/>
        </w:rPr>
        <w:t>, 3-е правление (709–741 гг. х. = 1310–1341 гг. н. э.). Медь.</w:t>
      </w:r>
    </w:p>
    <w:p>
      <w:pPr>
        <w:pStyle w:val="Normal"/>
        <w:spacing w:before="0" w:after="0"/>
        <w:ind w:end="-31" w:hanging="0"/>
        <w:contextualSpacing/>
        <w:jc w:val="both"/>
        <w:rPr>
          <w:rFonts w:ascii="Garamond" w:hAnsi="Garamond" w:cs="Garamond"/>
          <w:sz w:val="24"/>
          <w:szCs w:val="24"/>
        </w:rPr>
      </w:pPr>
      <w:r>
        <w:rPr>
          <w:rFonts w:cs="Garamond" w:ascii="Garamond" w:hAnsi="Garamond"/>
          <w:sz w:val="24"/>
          <w:szCs w:val="24"/>
        </w:rPr>
        <w:t xml:space="preserve">Л.с.: видна только часть мусульманского Символа веры: </w:t>
      </w:r>
      <w:r>
        <w:rPr>
          <w:rFonts w:eastAsia="MS Mincho;MS Gothic"/>
          <w:sz w:val="24"/>
          <w:sz w:val="24"/>
          <w:szCs w:val="24"/>
          <w:rtl w:val="true"/>
        </w:rPr>
        <w:t>ﻯﺪﻬﻟﺎﺑ</w:t>
      </w:r>
      <w:r>
        <w:rPr>
          <w:rFonts w:ascii="Garamond" w:hAnsi="Garamond" w:eastAsia="MS Mincho;MS Gothic" w:cs="Garamond"/>
          <w:sz w:val="24"/>
          <w:sz w:val="24"/>
          <w:szCs w:val="24"/>
          <w:rtl w:val="true"/>
        </w:rPr>
        <w:t xml:space="preserve"> </w:t>
      </w:r>
      <w:r>
        <w:rPr>
          <w:rFonts w:cs="Garamond" w:ascii="Garamond" w:hAnsi="Garamond"/>
          <w:sz w:val="24"/>
          <w:szCs w:val="24"/>
          <w:rtl w:val="true"/>
        </w:rPr>
        <w:t xml:space="preserve">[…] </w:t>
      </w:r>
      <w:r>
        <w:rPr>
          <w:rFonts w:eastAsia="MS Mincho;MS Gothic"/>
          <w:sz w:val="24"/>
          <w:sz w:val="24"/>
          <w:szCs w:val="24"/>
          <w:rtl w:val="true"/>
        </w:rPr>
        <w:t>ﻝﻮﺳﺭ ﺪﻤﺤﻣ</w:t>
      </w:r>
      <w:r>
        <w:rPr>
          <w:rFonts w:ascii="Garamond" w:hAnsi="Garamond" w:cs="Garamond"/>
          <w:sz w:val="24"/>
          <w:sz w:val="24"/>
          <w:szCs w:val="24"/>
        </w:rPr>
        <w:t xml:space="preserve"> </w:t>
      </w:r>
      <w:r>
        <w:rPr>
          <w:rFonts w:cs="Garamond" w:ascii="Garamond" w:hAnsi="Garamond"/>
          <w:sz w:val="24"/>
          <w:szCs w:val="24"/>
        </w:rPr>
        <w:t>[…]</w:t>
      </w:r>
    </w:p>
    <w:p>
      <w:pPr>
        <w:pStyle w:val="Normal"/>
        <w:spacing w:before="0" w:after="0"/>
        <w:ind w:end="-31" w:hanging="0"/>
        <w:contextualSpacing/>
        <w:jc w:val="both"/>
        <w:rPr/>
      </w:pPr>
      <w:r>
        <w:rPr>
          <w:rFonts w:cs="Garamond" w:ascii="Garamond" w:hAnsi="Garamond"/>
          <w:sz w:val="24"/>
          <w:szCs w:val="24"/>
        </w:rPr>
        <w:t xml:space="preserve">О.с.: от круговой легенды с титулом и именем султана частично видно только </w:t>
      </w:r>
      <w:r>
        <w:rPr>
          <w:rFonts w:eastAsia="MS Mincho;MS Gothic"/>
          <w:sz w:val="24"/>
          <w:sz w:val="24"/>
          <w:szCs w:val="24"/>
          <w:rtl w:val="true"/>
        </w:rPr>
        <w:t>ﻥﺎﻄﻠﺴﻟﺍ</w:t>
      </w:r>
      <w:r>
        <w:rPr>
          <w:rFonts w:ascii="Garamond" w:hAnsi="Garamond" w:cs="Garamond"/>
          <w:sz w:val="24"/>
          <w:sz w:val="24"/>
          <w:szCs w:val="24"/>
        </w:rPr>
        <w:t xml:space="preserve">     </w:t>
      </w:r>
      <w:r>
        <w:rPr>
          <w:rFonts w:cs="Garamond" w:ascii="Garamond" w:hAnsi="Garamond"/>
          <w:i/>
          <w:sz w:val="24"/>
          <w:szCs w:val="24"/>
        </w:rPr>
        <w:t>ас-султан</w:t>
      </w:r>
      <w:r>
        <w:rPr>
          <w:rFonts w:cs="Garamond" w:ascii="Garamond" w:hAnsi="Garamond"/>
          <w:sz w:val="24"/>
          <w:szCs w:val="24"/>
        </w:rPr>
        <w:t xml:space="preserve">, в центральном круге имя </w:t>
      </w:r>
      <w:r>
        <w:rPr>
          <w:rFonts w:eastAsia="MS Mincho;MS Gothic"/>
          <w:sz w:val="24"/>
          <w:sz w:val="24"/>
          <w:szCs w:val="24"/>
          <w:rtl w:val="true"/>
        </w:rPr>
        <w:t>ﺪﻤﺤﻣ</w:t>
      </w:r>
      <w:r>
        <w:rPr>
          <w:rFonts w:ascii="Garamond" w:hAnsi="Garamond" w:cs="Garamond"/>
          <w:sz w:val="24"/>
          <w:sz w:val="24"/>
          <w:szCs w:val="24"/>
        </w:rPr>
        <w:t xml:space="preserve"> </w:t>
      </w:r>
      <w:r>
        <w:rPr>
          <w:rFonts w:cs="Garamond" w:ascii="Garamond" w:hAnsi="Garamond"/>
          <w:i/>
          <w:sz w:val="24"/>
          <w:szCs w:val="24"/>
        </w:rPr>
        <w:t>Мухаммад</w:t>
      </w:r>
      <w:r>
        <w:rPr>
          <w:rFonts w:cs="Garamond" w:ascii="Garamond" w:hAnsi="Garamond"/>
          <w:sz w:val="24"/>
          <w:szCs w:val="24"/>
        </w:rPr>
        <w:t>.</w:t>
      </w:r>
    </w:p>
    <w:p>
      <w:pPr>
        <w:pStyle w:val="Normal"/>
        <w:spacing w:before="0" w:after="0"/>
        <w:ind w:end="-31" w:hanging="0"/>
        <w:contextualSpacing/>
        <w:jc w:val="both"/>
        <w:rPr/>
      </w:pPr>
      <w:r>
        <w:rPr>
          <w:rFonts w:cs="Garamond" w:ascii="Garamond" w:hAnsi="Garamond"/>
          <w:sz w:val="24"/>
          <w:szCs w:val="24"/>
        </w:rPr>
        <w:t>Вес 2,26 г, размеры 1,7 х 1,4 см.</w:t>
      </w:r>
      <w:bookmarkStart w:id="0" w:name="_GoBack"/>
      <w:bookmarkEnd w:id="0"/>
    </w:p>
    <w:p>
      <w:pPr>
        <w:pStyle w:val="Normal"/>
        <w:spacing w:before="0" w:after="0"/>
        <w:ind w:end="-31" w:hanging="0"/>
        <w:contextualSpacing/>
        <w:jc w:val="both"/>
        <w:rPr>
          <w:rFonts w:ascii="Garamond" w:hAnsi="Garamond" w:cs="Garamond"/>
          <w:sz w:val="24"/>
          <w:szCs w:val="24"/>
        </w:rPr>
      </w:pPr>
      <w:r>
        <w:rPr>
          <w:rFonts w:cs="Garamond" w:ascii="Garamond" w:hAnsi="Garamond"/>
          <w:sz w:val="24"/>
          <w:szCs w:val="24"/>
        </w:rPr>
        <w:t>Полевой шифр 15/58-4/</w:t>
      </w:r>
      <w:r>
        <w:rPr>
          <w:rFonts w:cs="Garamond" w:ascii="Garamond" w:hAnsi="Garamond"/>
          <w:sz w:val="24"/>
          <w:szCs w:val="24"/>
          <w:lang w:val="en-US"/>
        </w:rPr>
        <w:t>m</w:t>
      </w:r>
      <w:r>
        <w:rPr>
          <w:rFonts w:cs="Garamond" w:ascii="Garamond" w:hAnsi="Garamond"/>
          <w:sz w:val="24"/>
          <w:szCs w:val="24"/>
        </w:rPr>
        <w:t xml:space="preserve">1. Условия находки: скальная гробница </w:t>
      </w:r>
      <w:r>
        <w:rPr>
          <w:rFonts w:cs="Garamond" w:ascii="Garamond" w:hAnsi="Garamond"/>
          <w:sz w:val="24"/>
          <w:szCs w:val="24"/>
          <w:lang w:val="en-US"/>
        </w:rPr>
        <w:t>GE </w:t>
      </w:r>
      <w:r>
        <w:rPr>
          <w:rFonts w:cs="Garamond" w:ascii="Garamond" w:hAnsi="Garamond"/>
          <w:sz w:val="24"/>
          <w:szCs w:val="24"/>
        </w:rPr>
        <w:t>58, шахта 4, слой 3, глубина -75 см.</w:t>
      </w:r>
    </w:p>
    <w:p>
      <w:pPr>
        <w:pStyle w:val="Normal"/>
        <w:spacing w:before="0" w:after="0"/>
        <w:ind w:end="-31" w:firstLine="720"/>
        <w:contextualSpacing/>
        <w:jc w:val="both"/>
        <w:rPr/>
      </w:pPr>
      <w:r>
        <w:rPr>
          <w:rFonts w:cs="Garamond" w:ascii="Garamond" w:hAnsi="Garamond"/>
          <w:sz w:val="24"/>
          <w:szCs w:val="24"/>
        </w:rPr>
        <w:t>В каталоге мамлюкских монет П. Балога фельсы близкого по оформлению типа указаны как не имеющие обозначения монетного двора. В более новом каталоге мамлюкских фельсов А. Койфмана некоторые из них опознаны как чеканенные в городе Хама (Сирия). Данный тип фельсов также не имеет даты чеканки, она определяется всем периодом третьего правления султана Мухаммада </w:t>
      </w:r>
      <w:r>
        <w:rPr>
          <w:rFonts w:cs="Garamond" w:ascii="Garamond" w:hAnsi="Garamond"/>
          <w:sz w:val="24"/>
          <w:szCs w:val="24"/>
          <w:lang w:val="en-US"/>
        </w:rPr>
        <w:t>I</w:t>
      </w:r>
      <w:r>
        <w:rPr>
          <w:rFonts w:cs="Garamond" w:ascii="Garamond" w:hAnsi="Garamond"/>
          <w:sz w:val="24"/>
          <w:szCs w:val="24"/>
        </w:rPr>
        <w:t xml:space="preserve">. Судя по потертости найденного экземпляра, он находился в обращении длительное время, поэтому определить время его выпадения в культурный слой точнее, чем в пределах </w:t>
      </w:r>
      <w:r>
        <w:rPr>
          <w:rFonts w:cs="Garamond" w:ascii="Garamond" w:hAnsi="Garamond"/>
          <w:sz w:val="24"/>
          <w:szCs w:val="24"/>
          <w:lang w:val="en-US"/>
        </w:rPr>
        <w:t>XIV</w:t>
      </w:r>
      <w:r>
        <w:rPr>
          <w:rFonts w:cs="Garamond" w:ascii="Garamond" w:hAnsi="Garamond"/>
          <w:sz w:val="24"/>
          <w:szCs w:val="24"/>
        </w:rPr>
        <w:t> в., не представляется возможным.</w:t>
      </w:r>
      <w:r>
        <mc:AlternateContent>
          <mc:Choice Requires="wps">
            <w:drawing>
              <wp:anchor behindDoc="0" distT="0" distB="0" distL="114300" distR="0" simplePos="0" locked="0" layoutInCell="1" allowOverlap="1" relativeHeight="2">
                <wp:simplePos x="0" y="0"/>
                <wp:positionH relativeFrom="margin">
                  <wp:align>right</wp:align>
                </wp:positionH>
                <wp:positionV relativeFrom="paragraph">
                  <wp:posOffset>-12700</wp:posOffset>
                </wp:positionV>
                <wp:extent cx="3225165" cy="5330190"/>
                <wp:effectExtent l="0" t="0" r="0" b="0"/>
                <wp:wrapSquare wrapText="bothSides"/>
                <wp:docPr id="2" name="Врезка1"/>
                <a:graphic xmlns:a="http://schemas.openxmlformats.org/drawingml/2006/main">
                  <a:graphicData uri="http://schemas.microsoft.com/office/word/2010/wordprocessingShape">
                    <wps:wsp>
                      <wps:cNvSpPr txBox="1"/>
                      <wps:spPr>
                        <a:xfrm>
                          <a:off x="0" y="0"/>
                          <a:ext cx="3225165" cy="5330190"/>
                        </a:xfrm>
                        <a:prstGeom prst="rect"/>
                        <a:solidFill>
                          <a:srgbClr val="FFFFFF">
                            <a:alpha val="0"/>
                          </a:srgbClr>
                        </a:solidFill>
                      </wps:spPr>
                      <wps:txbx>
                        <w:txbxContent>
                          <w:tbl>
                            <w:tblPr>
                              <w:tblW w:w="5079" w:type="dxa"/>
                              <w:jc w:val="start"/>
                              <w:tblInd w:w="0" w:type="dxa"/>
                              <w:tblBorders/>
                              <w:tblCellMar>
                                <w:top w:w="0" w:type="dxa"/>
                                <w:start w:w="108" w:type="dxa"/>
                                <w:bottom w:w="0" w:type="dxa"/>
                                <w:end w:w="108" w:type="dxa"/>
                              </w:tblCellMar>
                            </w:tblPr>
                            <w:tblGrid>
                              <w:gridCol w:w="5079"/>
                            </w:tblGrid>
                            <w:tr>
                              <w:trPr/>
                              <w:tc>
                                <w:tcPr>
                                  <w:tcW w:w="5079" w:type="dxa"/>
                                  <w:tcBorders/>
                                  <w:shd w:fill="auto" w:val="clear"/>
                                </w:tcPr>
                                <w:p>
                                  <w:pPr>
                                    <w:pStyle w:val="Normal"/>
                                    <w:spacing w:before="0" w:after="0"/>
                                    <w:ind w:end="-31" w:hanging="0"/>
                                    <w:contextualSpacing/>
                                    <w:jc w:val="both"/>
                                    <w:rPr>
                                      <w:rFonts w:ascii="Garamond" w:hAnsi="Garamond" w:cs="Garamond"/>
                                      <w:sz w:val="22"/>
                                      <w:szCs w:val="22"/>
                                    </w:rPr>
                                  </w:pPr>
                                  <w:r>
                                    <w:rPr>
                                      <w:rFonts w:cs="Garamond" w:ascii="Garamond" w:hAnsi="Garamond"/>
                                      <w:sz w:val="22"/>
                                      <w:szCs w:val="22"/>
                                    </w:rPr>
                                    <w:drawing>
                                      <wp:inline distT="0" distB="0" distL="0" distR="0">
                                        <wp:extent cx="3107055" cy="4679950"/>
                                        <wp:effectExtent l="0" t="0" r="0" b="0"/>
                                        <wp:docPr id="3"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title=""/>
                                                <pic:cNvPicPr>
                                                  <a:picLocks noChangeAspect="1" noChangeArrowheads="1"/>
                                                </pic:cNvPicPr>
                                              </pic:nvPicPr>
                                              <pic:blipFill>
                                                <a:blip r:embed="rId3"/>
                                                <a:srcRect l="-1" t="-1" r="-1" b="-1"/>
                                                <a:stretch>
                                                  <a:fillRect/>
                                                </a:stretch>
                                              </pic:blipFill>
                                              <pic:spPr bwMode="auto">
                                                <a:xfrm>
                                                  <a:off x="0" y="0"/>
                                                  <a:ext cx="3107055" cy="4679950"/>
                                                </a:xfrm>
                                                <a:prstGeom prst="rect">
                                                  <a:avLst/>
                                                </a:prstGeom>
                                              </pic:spPr>
                                            </pic:pic>
                                          </a:graphicData>
                                        </a:graphic>
                                      </wp:inline>
                                    </w:drawing>
                                  </w:r>
                                </w:p>
                                <w:p>
                                  <w:pPr>
                                    <w:pStyle w:val="Normal"/>
                                    <w:spacing w:before="0" w:after="0"/>
                                    <w:ind w:end="-31" w:hanging="0"/>
                                    <w:contextualSpacing/>
                                    <w:jc w:val="center"/>
                                    <w:rPr>
                                      <w:rFonts w:ascii="Garamond" w:hAnsi="Garamond" w:cs="Garamond"/>
                                      <w:sz w:val="22"/>
                                      <w:szCs w:val="22"/>
                                    </w:rPr>
                                  </w:pPr>
                                  <w:r>
                                    <w:rPr>
                                      <w:rFonts w:cs="Garamond" w:ascii="Garamond" w:hAnsi="Garamond"/>
                                      <w:i/>
                                      <w:sz w:val="22"/>
                                      <w:szCs w:val="22"/>
                                    </w:rPr>
                                    <w:t>Илл. 1</w:t>
                                  </w:r>
                                  <w:r>
                                    <w:rPr>
                                      <w:rFonts w:cs="Garamond" w:ascii="Garamond" w:hAnsi="Garamond"/>
                                      <w:sz w:val="22"/>
                                      <w:szCs w:val="22"/>
                                    </w:rPr>
                                    <w:t>. Исламские монеты из Восточной Гизы</w:t>
                                  </w:r>
                                </w:p>
                                <w:p>
                                  <w:pPr>
                                    <w:pStyle w:val="Normal"/>
                                    <w:spacing w:before="0" w:after="0"/>
                                    <w:ind w:end="-31" w:hanging="0"/>
                                    <w:contextualSpacing/>
                                    <w:jc w:val="center"/>
                                    <w:rPr/>
                                  </w:pPr>
                                  <w:r>
                                    <w:rPr>
                                      <w:rFonts w:cs="Garamond" w:ascii="Garamond" w:hAnsi="Garamond"/>
                                      <w:sz w:val="22"/>
                                      <w:szCs w:val="22"/>
                                    </w:rPr>
                                    <w:t>(</w:t>
                                  </w:r>
                                  <w:r>
                                    <w:rPr>
                                      <w:rFonts w:cs="Garamond" w:ascii="Garamond" w:hAnsi="Garamond"/>
                                      <w:i/>
                                      <w:sz w:val="22"/>
                                      <w:szCs w:val="22"/>
                                    </w:rPr>
                                    <w:t>фото С. Е. Малых, С. В. Малых</w:t>
                                  </w:r>
                                  <w:r>
                                    <w:rPr>
                                      <w:rFonts w:cs="Garamond" w:ascii="Garamond" w:hAnsi="Garamond"/>
                                      <w:sz w:val="22"/>
                                      <w:szCs w:val="22"/>
                                    </w:rPr>
                                    <w:t>)</w:t>
                                  </w:r>
                                </w:p>
                                <w:p>
                                  <w:pPr>
                                    <w:pStyle w:val="Normal"/>
                                    <w:spacing w:before="0" w:after="0"/>
                                    <w:ind w:end="-31" w:hanging="0"/>
                                    <w:contextualSpacing/>
                                    <w:jc w:val="center"/>
                                    <w:rPr>
                                      <w:rFonts w:ascii="Garamond" w:hAnsi="Garamond" w:cs="Garamond"/>
                                      <w:sz w:val="22"/>
                                      <w:szCs w:val="22"/>
                                    </w:rPr>
                                  </w:pPr>
                                  <w:r>
                                    <w:rPr>
                                      <w:rFonts w:cs="Garamond" w:ascii="Garamond" w:hAnsi="Garamond"/>
                                      <w:sz w:val="22"/>
                                      <w:szCs w:val="22"/>
                                    </w:rPr>
                                  </w:r>
                                </w:p>
                              </w:tc>
                            </w:tr>
                          </w:tbl>
                        </w:txbxContent>
                      </wps:txbx>
                      <wps:bodyPr anchor="t" lIns="0" tIns="0" rIns="0" bIns="0">
                        <a:noAutofit/>
                      </wps:bodyPr>
                    </wps:wsp>
                  </a:graphicData>
                </a:graphic>
              </wp:anchor>
            </w:drawing>
          </mc:Choice>
          <mc:Fallback>
            <w:pict>
              <v:rect fillcolor="#FFFFFF" style="position:absolute;rotation:0;width:253.95pt;height:419.7pt;mso-wrap-distance-left:9pt;mso-wrap-distance-right:0pt;mso-wrap-distance-top:0pt;mso-wrap-distance-bottom:0pt;margin-top:-1pt;mso-position-vertical-relative:text;margin-left:185.5pt;mso-position-horizontal:right;mso-position-horizontal-relative:margin">
                <v:fill opacity="0f"/>
                <v:textbox>
                  <w:txbxContent>
                    <w:tbl>
                      <w:tblPr>
                        <w:tblW w:w="5079" w:type="dxa"/>
                        <w:jc w:val="start"/>
                        <w:tblInd w:w="0" w:type="dxa"/>
                        <w:tblBorders/>
                        <w:tblCellMar>
                          <w:top w:w="0" w:type="dxa"/>
                          <w:start w:w="108" w:type="dxa"/>
                          <w:bottom w:w="0" w:type="dxa"/>
                          <w:end w:w="108" w:type="dxa"/>
                        </w:tblCellMar>
                      </w:tblPr>
                      <w:tblGrid>
                        <w:gridCol w:w="5079"/>
                      </w:tblGrid>
                      <w:tr>
                        <w:trPr/>
                        <w:tc>
                          <w:tcPr>
                            <w:tcW w:w="5079" w:type="dxa"/>
                            <w:tcBorders/>
                            <w:shd w:fill="auto" w:val="clear"/>
                          </w:tcPr>
                          <w:p>
                            <w:pPr>
                              <w:pStyle w:val="Normal"/>
                              <w:spacing w:before="0" w:after="0"/>
                              <w:ind w:end="-31" w:hanging="0"/>
                              <w:contextualSpacing/>
                              <w:jc w:val="both"/>
                              <w:rPr>
                                <w:rFonts w:ascii="Garamond" w:hAnsi="Garamond" w:cs="Garamond"/>
                                <w:sz w:val="22"/>
                                <w:szCs w:val="22"/>
                              </w:rPr>
                            </w:pPr>
                            <w:r>
                              <w:rPr>
                                <w:rFonts w:cs="Garamond" w:ascii="Garamond" w:hAnsi="Garamond"/>
                                <w:sz w:val="22"/>
                                <w:szCs w:val="22"/>
                              </w:rPr>
                              <w:drawing>
                                <wp:inline distT="0" distB="0" distL="0" distR="0">
                                  <wp:extent cx="3107055" cy="4679950"/>
                                  <wp:effectExtent l="0" t="0" r="0" b="0"/>
                                  <wp:docPr id="4"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 descr="" title=""/>
                                          <pic:cNvPicPr>
                                            <a:picLocks noChangeAspect="1" noChangeArrowheads="1"/>
                                          </pic:cNvPicPr>
                                        </pic:nvPicPr>
                                        <pic:blipFill>
                                          <a:blip r:embed="rId3"/>
                                          <a:srcRect l="-1" t="-1" r="-1" b="-1"/>
                                          <a:stretch>
                                            <a:fillRect/>
                                          </a:stretch>
                                        </pic:blipFill>
                                        <pic:spPr bwMode="auto">
                                          <a:xfrm>
                                            <a:off x="0" y="0"/>
                                            <a:ext cx="3107055" cy="4679950"/>
                                          </a:xfrm>
                                          <a:prstGeom prst="rect">
                                            <a:avLst/>
                                          </a:prstGeom>
                                        </pic:spPr>
                                      </pic:pic>
                                    </a:graphicData>
                                  </a:graphic>
                                </wp:inline>
                              </w:drawing>
                            </w:r>
                          </w:p>
                          <w:p>
                            <w:pPr>
                              <w:pStyle w:val="Normal"/>
                              <w:spacing w:before="0" w:after="0"/>
                              <w:ind w:end="-31" w:hanging="0"/>
                              <w:contextualSpacing/>
                              <w:jc w:val="center"/>
                              <w:rPr>
                                <w:rFonts w:ascii="Garamond" w:hAnsi="Garamond" w:cs="Garamond"/>
                                <w:sz w:val="22"/>
                                <w:szCs w:val="22"/>
                              </w:rPr>
                            </w:pPr>
                            <w:r>
                              <w:rPr>
                                <w:rFonts w:cs="Garamond" w:ascii="Garamond" w:hAnsi="Garamond"/>
                                <w:i/>
                                <w:sz w:val="22"/>
                                <w:szCs w:val="22"/>
                              </w:rPr>
                              <w:t>Илл. 1</w:t>
                            </w:r>
                            <w:r>
                              <w:rPr>
                                <w:rFonts w:cs="Garamond" w:ascii="Garamond" w:hAnsi="Garamond"/>
                                <w:sz w:val="22"/>
                                <w:szCs w:val="22"/>
                              </w:rPr>
                              <w:t>. Исламские монеты из Восточной Гизы</w:t>
                            </w:r>
                          </w:p>
                          <w:p>
                            <w:pPr>
                              <w:pStyle w:val="Normal"/>
                              <w:spacing w:before="0" w:after="0"/>
                              <w:ind w:end="-31" w:hanging="0"/>
                              <w:contextualSpacing/>
                              <w:jc w:val="center"/>
                              <w:rPr/>
                            </w:pPr>
                            <w:r>
                              <w:rPr>
                                <w:rFonts w:cs="Garamond" w:ascii="Garamond" w:hAnsi="Garamond"/>
                                <w:sz w:val="22"/>
                                <w:szCs w:val="22"/>
                              </w:rPr>
                              <w:t>(</w:t>
                            </w:r>
                            <w:r>
                              <w:rPr>
                                <w:rFonts w:cs="Garamond" w:ascii="Garamond" w:hAnsi="Garamond"/>
                                <w:i/>
                                <w:sz w:val="22"/>
                                <w:szCs w:val="22"/>
                              </w:rPr>
                              <w:t>фото С. Е. Малых, С. В. Малых</w:t>
                            </w:r>
                            <w:r>
                              <w:rPr>
                                <w:rFonts w:cs="Garamond" w:ascii="Garamond" w:hAnsi="Garamond"/>
                                <w:sz w:val="22"/>
                                <w:szCs w:val="22"/>
                              </w:rPr>
                              <w:t>)</w:t>
                            </w:r>
                          </w:p>
                          <w:p>
                            <w:pPr>
                              <w:pStyle w:val="Normal"/>
                              <w:spacing w:before="0" w:after="0"/>
                              <w:ind w:end="-31" w:hanging="0"/>
                              <w:contextualSpacing/>
                              <w:jc w:val="center"/>
                              <w:rPr>
                                <w:rFonts w:ascii="Garamond" w:hAnsi="Garamond" w:cs="Garamond"/>
                                <w:sz w:val="22"/>
                                <w:szCs w:val="22"/>
                              </w:rPr>
                            </w:pPr>
                            <w:r>
                              <w:rPr>
                                <w:rFonts w:cs="Garamond" w:ascii="Garamond" w:hAnsi="Garamond"/>
                                <w:sz w:val="22"/>
                                <w:szCs w:val="22"/>
                              </w:rPr>
                            </w:r>
                          </w:p>
                        </w:tc>
                      </w:tr>
                    </w:tbl>
                  </w:txbxContent>
                </v:textbox>
                <w10:wrap type="square"/>
              </v:rect>
            </w:pict>
          </mc:Fallback>
        </mc:AlternateConten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t>Аналогичные фельсы опубликованы в [</w:t>
      </w:r>
      <w:r>
        <w:rPr>
          <w:rFonts w:cs="Garamond" w:ascii="Garamond" w:hAnsi="Garamond"/>
          <w:sz w:val="24"/>
          <w:szCs w:val="24"/>
          <w:lang w:val="en-US"/>
        </w:rPr>
        <w:t>Balog</w:t>
      </w:r>
      <w:r>
        <w:rPr>
          <w:rFonts w:cs="Garamond" w:ascii="Garamond" w:hAnsi="Garamond"/>
          <w:sz w:val="24"/>
          <w:szCs w:val="24"/>
        </w:rPr>
        <w:t xml:space="preserve">, 1964, </w:t>
      </w:r>
      <w:r>
        <w:rPr>
          <w:rFonts w:cs="Garamond" w:ascii="Garamond" w:hAnsi="Garamond"/>
          <w:sz w:val="24"/>
          <w:szCs w:val="24"/>
          <w:lang w:val="en-US"/>
        </w:rPr>
        <w:t>p</w:t>
      </w:r>
      <w:r>
        <w:rPr>
          <w:rFonts w:cs="Garamond" w:ascii="Garamond" w:hAnsi="Garamond"/>
          <w:sz w:val="24"/>
          <w:szCs w:val="24"/>
        </w:rPr>
        <w:t>. 152, № 230] и [</w:t>
      </w:r>
      <w:r>
        <w:rPr>
          <w:rFonts w:cs="Garamond" w:ascii="Garamond" w:hAnsi="Garamond"/>
          <w:sz w:val="24"/>
          <w:szCs w:val="24"/>
          <w:lang w:val="en-US"/>
        </w:rPr>
        <w:t>Koifman</w:t>
      </w:r>
      <w:r>
        <w:rPr>
          <w:rFonts w:cs="Garamond" w:ascii="Garamond" w:hAnsi="Garamond"/>
          <w:sz w:val="24"/>
          <w:szCs w:val="24"/>
        </w:rPr>
        <w:t xml:space="preserve">, 2012, </w:t>
      </w:r>
      <w:r>
        <w:rPr>
          <w:rFonts w:cs="Garamond" w:ascii="Garamond" w:hAnsi="Garamond"/>
          <w:sz w:val="24"/>
          <w:szCs w:val="24"/>
          <w:lang w:val="en-US"/>
        </w:rPr>
        <w:t>p</w:t>
      </w:r>
      <w:r>
        <w:rPr>
          <w:rFonts w:cs="Garamond" w:ascii="Garamond" w:hAnsi="Garamond"/>
          <w:sz w:val="24"/>
          <w:szCs w:val="24"/>
        </w:rPr>
        <w:t>. 41, № 230</w:t>
      </w:r>
      <w:r>
        <w:rPr>
          <w:rFonts w:cs="Garamond" w:ascii="Garamond" w:hAnsi="Garamond"/>
          <w:sz w:val="24"/>
          <w:szCs w:val="24"/>
          <w:lang w:val="en-US"/>
        </w:rPr>
        <w:t>B</w:t>
      </w:r>
      <w:r>
        <w:rPr>
          <w:rFonts w:cs="Garamond" w:ascii="Garamond" w:hAnsi="Garamond"/>
          <w:sz w:val="24"/>
          <w:szCs w:val="24"/>
        </w:rPr>
        <w:t>]. В мамлюкском Египте, как и на всем мусульманском Востоке, медные фельсы были самыми мелкими денежными единицами с низкой покупательной способностью. Выше них были серебряные дирхамы (и их фракции) и золотые динары. Активный оборот денег и товаров приводил к перемещению монет из регионов их выпуска в другие районы государства, поэтому даже фельсы, а не только дирхамы и динары, чеканенные в Каире, находят в сирийских областях Мамлюкского султаната, а монеты, выпущенные там, встречаются в Египте.</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end="-31" w:firstLine="720"/>
        <w:contextualSpacing/>
        <w:jc w:val="both"/>
        <w:rPr>
          <w:rFonts w:ascii="Garamond" w:hAnsi="Garamond" w:cs="Garamond"/>
          <w:sz w:val="24"/>
          <w:szCs w:val="24"/>
        </w:rPr>
      </w:pPr>
      <w:r>
        <w:rPr>
          <w:rFonts w:cs="Garamond" w:ascii="Garamond" w:hAnsi="Garamond"/>
          <w:b/>
          <w:sz w:val="24"/>
          <w:szCs w:val="24"/>
        </w:rPr>
        <w:t>2</w:t>
      </w:r>
      <w:r>
        <w:rPr>
          <w:rFonts w:cs="Garamond" w:ascii="Garamond" w:hAnsi="Garamond"/>
          <w:sz w:val="24"/>
          <w:szCs w:val="24"/>
        </w:rPr>
        <w:t>. Бучук хайрийе (1/2 хайрийе) (</w:t>
      </w:r>
      <w:r>
        <w:rPr>
          <w:rFonts w:cs="Garamond" w:ascii="Garamond" w:hAnsi="Garamond"/>
          <w:i/>
          <w:sz w:val="24"/>
          <w:szCs w:val="24"/>
        </w:rPr>
        <w:t>илл. 1.2</w:t>
      </w:r>
      <w:r>
        <w:rPr>
          <w:rFonts w:cs="Garamond" w:ascii="Garamond" w:hAnsi="Garamond"/>
          <w:sz w:val="24"/>
          <w:szCs w:val="24"/>
        </w:rPr>
        <w:t>) османского султана Махмуда </w:t>
      </w:r>
      <w:r>
        <w:rPr>
          <w:rFonts w:cs="Garamond" w:ascii="Garamond" w:hAnsi="Garamond"/>
          <w:sz w:val="24"/>
          <w:szCs w:val="24"/>
          <w:lang w:val="en-US"/>
        </w:rPr>
        <w:t>II</w:t>
      </w:r>
      <w:r>
        <w:rPr>
          <w:rFonts w:cs="Garamond" w:ascii="Garamond" w:hAnsi="Garamond"/>
          <w:sz w:val="24"/>
          <w:szCs w:val="24"/>
        </w:rPr>
        <w:t xml:space="preserve"> (1223–1255 гг. х.=1808–1839 гг.). 23-й год правления, т. е. 1830/31 г., чекан Мисра (Египет). Золото</w:t>
      </w:r>
      <w:r>
        <w:rPr>
          <w:rStyle w:val="Style14"/>
          <w:rStyle w:val="Style20"/>
          <w:rFonts w:cs="Garamond" w:ascii="Garamond" w:hAnsi="Garamond"/>
          <w:sz w:val="24"/>
          <w:szCs w:val="24"/>
        </w:rPr>
        <w:footnoteReference w:id="4"/>
      </w:r>
      <w:r>
        <w:rPr>
          <w:rFonts w:cs="Garamond" w:ascii="Garamond" w:hAnsi="Garamond"/>
          <w:sz w:val="24"/>
          <w:szCs w:val="24"/>
        </w:rPr>
        <w:t>.</w:t>
      </w:r>
    </w:p>
    <w:p>
      <w:pPr>
        <w:pStyle w:val="Normal"/>
        <w:spacing w:before="0" w:after="0"/>
        <w:ind w:end="-31" w:hanging="0"/>
        <w:contextualSpacing/>
        <w:jc w:val="both"/>
        <w:rPr/>
      </w:pPr>
      <w:r>
        <w:rPr>
          <w:rFonts w:cs="Garamond" w:ascii="Garamond" w:hAnsi="Garamond"/>
          <w:sz w:val="24"/>
          <w:szCs w:val="24"/>
        </w:rPr>
        <w:t>Л.с.: в центре, в круге, тугра султана Махмуда </w:t>
      </w:r>
      <w:r>
        <w:rPr>
          <w:rFonts w:cs="Garamond" w:ascii="Garamond" w:hAnsi="Garamond"/>
          <w:sz w:val="24"/>
          <w:szCs w:val="24"/>
          <w:lang w:val="en-US"/>
        </w:rPr>
        <w:t>II</w:t>
      </w:r>
      <w:r>
        <w:rPr>
          <w:rFonts w:cs="Garamond" w:ascii="Garamond" w:hAnsi="Garamond"/>
          <w:sz w:val="24"/>
          <w:szCs w:val="24"/>
        </w:rPr>
        <w:t xml:space="preserve">, в трех овальных картушах, с верхнего влево, </w:t>
      </w:r>
      <w:r>
        <w:rPr>
          <w:rFonts w:eastAsia="MS Mincho;MS Gothic"/>
          <w:sz w:val="24"/>
          <w:sz w:val="24"/>
          <w:szCs w:val="24"/>
          <w:rtl w:val="true"/>
        </w:rPr>
        <w:t>ﻥﺎﻣﺯ</w:t>
      </w:r>
      <w:r>
        <w:rPr>
          <w:rFonts w:ascii="WL ArabicNaskh" w:hAnsi="WL ArabicNaskh" w:cs="WL ArabicNaskh"/>
          <w:sz w:val="24"/>
          <w:sz w:val="24"/>
          <w:szCs w:val="24"/>
        </w:rPr>
        <w:t></w:t>
      </w:r>
      <w:r>
        <w:rPr>
          <w:rFonts w:eastAsia="MS Mincho;MS Gothic"/>
          <w:sz w:val="24"/>
          <w:sz w:val="24"/>
          <w:szCs w:val="24"/>
          <w:rtl w:val="true"/>
        </w:rPr>
        <w:t>ﻥﻴﻃﻼﺳ</w:t>
      </w:r>
      <w:r>
        <w:rPr>
          <w:rFonts w:ascii="WL ArabicNaskh" w:hAnsi="WL ArabicNaskh" w:cs="WL ArabicNaskh"/>
          <w:sz w:val="24"/>
          <w:sz w:val="24"/>
          <w:szCs w:val="24"/>
        </w:rPr>
        <w:t></w:t>
      </w:r>
      <w:r>
        <w:rPr>
          <w:rFonts w:eastAsia="MS Mincho;MS Gothic"/>
          <w:sz w:val="24"/>
          <w:sz w:val="24"/>
          <w:szCs w:val="24"/>
          <w:rtl w:val="true"/>
        </w:rPr>
        <w:t>ﻥﺎﻄﻠﺳ</w:t>
      </w:r>
      <w:r>
        <w:rPr>
          <w:rFonts w:cs="Garamond" w:ascii="Garamond" w:hAnsi="Garamond"/>
          <w:sz w:val="24"/>
          <w:szCs w:val="24"/>
        </w:rPr>
        <w:t xml:space="preserve">, </w:t>
      </w:r>
      <w:r>
        <w:rPr>
          <w:rFonts w:cs="Garamond" w:ascii="Garamond" w:hAnsi="Garamond"/>
          <w:i/>
          <w:sz w:val="24"/>
          <w:szCs w:val="24"/>
        </w:rPr>
        <w:t>Султан Султанов эпохи</w:t>
      </w:r>
      <w:r>
        <w:rPr>
          <w:rFonts w:cs="Garamond" w:ascii="Garamond" w:hAnsi="Garamond"/>
          <w:sz w:val="24"/>
          <w:szCs w:val="24"/>
        </w:rPr>
        <w:t>. Между картушами три декоративные веточки.</w:t>
      </w:r>
    </w:p>
    <w:p>
      <w:pPr>
        <w:pStyle w:val="Normal"/>
        <w:spacing w:before="0" w:after="0"/>
        <w:ind w:end="-31" w:hanging="0"/>
        <w:contextualSpacing/>
        <w:jc w:val="both"/>
        <w:rPr/>
      </w:pPr>
      <w:r>
        <w:rPr>
          <w:rFonts w:cs="Garamond" w:ascii="Garamond" w:hAnsi="Garamond"/>
          <w:sz w:val="24"/>
          <w:szCs w:val="24"/>
        </w:rPr>
        <w:t xml:space="preserve">О.с.: в центре, в круге, в четыре строки указание места и даты чеканки                          </w:t>
      </w:r>
      <w:r>
        <w:rPr>
          <w:rFonts w:eastAsia="MS Mincho;MS Gothic"/>
          <w:sz w:val="24"/>
          <w:sz w:val="24"/>
          <w:szCs w:val="24"/>
        </w:rPr>
        <w:t>۱۲۲۳</w:t>
      </w:r>
      <w:r>
        <w:rPr>
          <w:rFonts w:ascii="WL ArabicNaskh" w:hAnsi="WL ArabicNaskh" w:cs="WL ArabicNaskh"/>
          <w:sz w:val="24"/>
          <w:sz w:val="24"/>
          <w:szCs w:val="24"/>
        </w:rPr>
        <w:t></w:t>
      </w:r>
      <w:r>
        <w:rPr>
          <w:rFonts w:eastAsia="MS Mincho;MS Gothic"/>
          <w:sz w:val="24"/>
          <w:sz w:val="24"/>
          <w:szCs w:val="24"/>
          <w:rtl w:val="true"/>
        </w:rPr>
        <w:t>ﺮﺼﻣ</w:t>
      </w:r>
      <w:r>
        <w:rPr>
          <w:rFonts w:ascii="WL ArabicNaskh" w:hAnsi="WL ArabicNaskh" w:cs="WL ArabicNaskh"/>
          <w:sz w:val="24"/>
          <w:sz w:val="24"/>
          <w:szCs w:val="24"/>
        </w:rPr>
        <w:t></w:t>
      </w:r>
      <w:r>
        <w:rPr>
          <w:rFonts w:eastAsia="MS Mincho;MS Gothic"/>
          <w:sz w:val="24"/>
          <w:sz w:val="24"/>
          <w:szCs w:val="24"/>
          <w:rtl w:val="true"/>
        </w:rPr>
        <w:t>ﻲﻓ ﺏﺮﺿ</w:t>
      </w:r>
      <w:r>
        <w:rPr>
          <w:rFonts w:ascii="WL ArabicNaskh" w:hAnsi="WL ArabicNaskh" w:cs="WL ArabicNaskh"/>
          <w:sz w:val="24"/>
          <w:sz w:val="24"/>
          <w:szCs w:val="24"/>
        </w:rPr>
        <w:t></w:t>
      </w:r>
      <w:r>
        <w:rPr>
          <w:rFonts w:eastAsia="MS Mincho;MS Gothic"/>
          <w:sz w:val="24"/>
          <w:sz w:val="24"/>
          <w:szCs w:val="24"/>
        </w:rPr>
        <w:t>۲۳</w:t>
      </w:r>
      <w:r>
        <w:rPr>
          <w:rFonts w:cs="Garamond" w:ascii="Garamond" w:hAnsi="Garamond"/>
          <w:sz w:val="24"/>
          <w:szCs w:val="24"/>
        </w:rPr>
        <w:t xml:space="preserve">, т. е. </w:t>
      </w:r>
      <w:r>
        <w:rPr>
          <w:rFonts w:cs="Garamond" w:ascii="Garamond" w:hAnsi="Garamond"/>
          <w:i/>
          <w:sz w:val="24"/>
          <w:szCs w:val="24"/>
        </w:rPr>
        <w:t>23</w:t>
      </w:r>
      <w:r>
        <w:rPr>
          <w:rFonts w:cs="Garamond" w:ascii="Garamond" w:hAnsi="Garamond"/>
          <w:sz w:val="24"/>
          <w:szCs w:val="24"/>
        </w:rPr>
        <w:t xml:space="preserve"> (год правления), </w:t>
      </w:r>
      <w:r>
        <w:rPr>
          <w:rFonts w:cs="Garamond" w:ascii="Garamond" w:hAnsi="Garamond"/>
          <w:i/>
          <w:sz w:val="24"/>
          <w:szCs w:val="24"/>
        </w:rPr>
        <w:t>Чеканен в Мисре 1223</w:t>
      </w:r>
      <w:r>
        <w:rPr>
          <w:rFonts w:cs="Garamond" w:ascii="Garamond" w:hAnsi="Garamond"/>
          <w:sz w:val="24"/>
          <w:szCs w:val="24"/>
        </w:rPr>
        <w:t xml:space="preserve"> (год начала правления); в трех овальных картушах, с верхнего влево, </w:t>
      </w:r>
      <w:r>
        <w:rPr>
          <w:rFonts w:eastAsia="MS Mincho;MS Gothic"/>
          <w:sz w:val="24"/>
          <w:sz w:val="24"/>
          <w:szCs w:val="24"/>
          <w:rtl w:val="true"/>
        </w:rPr>
        <w:t>ﻯﺯﺎﻋ</w:t>
      </w:r>
      <w:r>
        <w:rPr>
          <w:rFonts w:ascii="WL ArabicNaskh" w:hAnsi="WL ArabicNaskh" w:cs="WL ArabicNaskh"/>
          <w:sz w:val="24"/>
          <w:sz w:val="24"/>
          <w:szCs w:val="24"/>
        </w:rPr>
        <w:t></w:t>
      </w:r>
      <w:r>
        <w:rPr>
          <w:rFonts w:eastAsia="MS Mincho;MS Gothic"/>
          <w:sz w:val="24"/>
          <w:sz w:val="24"/>
          <w:szCs w:val="24"/>
          <w:rtl w:val="true"/>
        </w:rPr>
        <w:t>ﻥﺎﺧ</w:t>
      </w:r>
      <w:r>
        <w:rPr>
          <w:rFonts w:ascii="WL ArabicNaskh" w:hAnsi="WL ArabicNaskh" w:cs="WL ArabicNaskh"/>
          <w:sz w:val="24"/>
          <w:sz w:val="24"/>
          <w:szCs w:val="24"/>
        </w:rPr>
        <w:t></w:t>
      </w:r>
      <w:r>
        <w:rPr>
          <w:rFonts w:eastAsia="MS Mincho;MS Gothic"/>
          <w:sz w:val="24"/>
          <w:sz w:val="24"/>
          <w:szCs w:val="24"/>
          <w:rtl w:val="true"/>
        </w:rPr>
        <w:t>ﺩﻮﻤﺤﻣ</w:t>
      </w:r>
      <w:r>
        <w:rPr>
          <w:rFonts w:cs="Garamond" w:ascii="Garamond" w:hAnsi="Garamond"/>
          <w:sz w:val="24"/>
          <w:szCs w:val="24"/>
        </w:rPr>
        <w:t>,                          т. е.</w:t>
      </w:r>
      <w:r>
        <w:rPr>
          <w:rFonts w:cs="Garamond" w:ascii="Garamond" w:hAnsi="Garamond"/>
          <w:i/>
          <w:sz w:val="24"/>
          <w:szCs w:val="24"/>
        </w:rPr>
        <w:t xml:space="preserve"> Махмуд хан победоносный</w:t>
      </w:r>
      <w:r>
        <w:rPr>
          <w:rFonts w:cs="Garamond" w:ascii="Garamond" w:hAnsi="Garamond"/>
          <w:sz w:val="24"/>
          <w:szCs w:val="24"/>
        </w:rPr>
        <w:t>.</w:t>
      </w:r>
    </w:p>
    <w:p>
      <w:pPr>
        <w:pStyle w:val="Normal"/>
        <w:spacing w:before="0" w:after="0"/>
        <w:ind w:end="-31" w:hanging="0"/>
        <w:contextualSpacing/>
        <w:jc w:val="both"/>
        <w:rPr>
          <w:rFonts w:ascii="Garamond" w:hAnsi="Garamond" w:cs="Garamond"/>
          <w:sz w:val="24"/>
          <w:szCs w:val="24"/>
        </w:rPr>
      </w:pPr>
      <w:r>
        <w:rPr>
          <w:rFonts w:cs="Garamond" w:ascii="Garamond" w:hAnsi="Garamond"/>
          <w:sz w:val="24"/>
          <w:szCs w:val="24"/>
        </w:rPr>
        <w:t>Гурт зубчатый.</w:t>
      </w:r>
    </w:p>
    <w:p>
      <w:pPr>
        <w:pStyle w:val="Normal"/>
        <w:spacing w:before="0" w:after="0"/>
        <w:ind w:end="-31" w:hanging="0"/>
        <w:contextualSpacing/>
        <w:jc w:val="both"/>
        <w:rPr>
          <w:rFonts w:ascii="Garamond" w:hAnsi="Garamond" w:cs="Garamond"/>
          <w:sz w:val="24"/>
          <w:szCs w:val="24"/>
        </w:rPr>
      </w:pPr>
      <w:r>
        <w:rPr>
          <w:rFonts w:cs="Garamond" w:ascii="Garamond" w:hAnsi="Garamond"/>
          <w:sz w:val="24"/>
          <w:szCs w:val="24"/>
        </w:rPr>
        <w:t>Вес неизвестен, диаметр 1,66 см, толщина 0,03–0,05 см. Проба 875°.</w:t>
      </w:r>
    </w:p>
    <w:p>
      <w:pPr>
        <w:pStyle w:val="Normal"/>
        <w:spacing w:before="0" w:after="0"/>
        <w:ind w:end="-31" w:hanging="0"/>
        <w:contextualSpacing/>
        <w:jc w:val="both"/>
        <w:rPr/>
      </w:pPr>
      <w:r>
        <w:rPr>
          <w:rFonts w:cs="Garamond" w:ascii="Garamond" w:hAnsi="Garamond"/>
          <w:sz w:val="24"/>
          <w:szCs w:val="24"/>
        </w:rPr>
        <w:t>Полевой шифр 19/19-11/</w:t>
      </w:r>
      <w:r>
        <w:rPr>
          <w:rFonts w:cs="Garamond" w:ascii="Garamond" w:hAnsi="Garamond"/>
          <w:sz w:val="24"/>
          <w:szCs w:val="24"/>
          <w:lang w:val="en-US"/>
        </w:rPr>
        <w:t>m</w:t>
      </w:r>
      <w:r>
        <w:rPr>
          <w:rFonts w:cs="Garamond" w:ascii="Garamond" w:hAnsi="Garamond"/>
          <w:sz w:val="24"/>
          <w:szCs w:val="24"/>
        </w:rPr>
        <w:t xml:space="preserve">1. Условия находки: скальная гробница </w:t>
      </w:r>
      <w:r>
        <w:rPr>
          <w:rFonts w:cs="Garamond" w:ascii="Garamond" w:hAnsi="Garamond"/>
          <w:sz w:val="24"/>
          <w:szCs w:val="24"/>
          <w:lang w:val="en-US"/>
        </w:rPr>
        <w:t>GE </w:t>
      </w:r>
      <w:r>
        <w:rPr>
          <w:rFonts w:cs="Garamond" w:ascii="Garamond" w:hAnsi="Garamond"/>
          <w:sz w:val="24"/>
          <w:szCs w:val="24"/>
        </w:rPr>
        <w:t>19, шахта 11, слой 4, глубина -150 см.</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t>Согласно «Стандартному каталогу монет мира 1801–1900 гг.», вес таких монет находится в диапазоне 0,70–0,80 г [</w:t>
      </w:r>
      <w:r>
        <w:rPr>
          <w:rFonts w:cs="Garamond" w:ascii="Garamond" w:hAnsi="Garamond"/>
          <w:sz w:val="24"/>
          <w:szCs w:val="24"/>
          <w:lang w:val="en-US"/>
        </w:rPr>
        <w:t>Standard</w:t>
      </w:r>
      <w:r>
        <w:rPr>
          <w:rFonts w:cs="Garamond" w:ascii="Garamond" w:hAnsi="Garamond"/>
          <w:sz w:val="24"/>
          <w:szCs w:val="24"/>
        </w:rPr>
        <w:t xml:space="preserve"> </w:t>
      </w:r>
      <w:r>
        <w:rPr>
          <w:rFonts w:cs="Garamond" w:ascii="Garamond" w:hAnsi="Garamond"/>
          <w:sz w:val="24"/>
          <w:szCs w:val="24"/>
          <w:lang w:val="en-US"/>
        </w:rPr>
        <w:t>Catalog</w:t>
      </w:r>
      <w:r>
        <w:rPr>
          <w:rFonts w:cs="Garamond" w:ascii="Garamond" w:hAnsi="Garamond"/>
          <w:sz w:val="24"/>
          <w:szCs w:val="24"/>
        </w:rPr>
        <w:t xml:space="preserve"> </w:t>
      </w:r>
      <w:r>
        <w:rPr>
          <w:rFonts w:cs="Garamond" w:ascii="Garamond" w:hAnsi="Garamond"/>
          <w:sz w:val="24"/>
          <w:szCs w:val="24"/>
          <w:lang w:val="en-US"/>
        </w:rPr>
        <w:t>of</w:t>
      </w:r>
      <w:r>
        <w:rPr>
          <w:rFonts w:cs="Garamond" w:ascii="Garamond" w:hAnsi="Garamond"/>
          <w:sz w:val="24"/>
          <w:szCs w:val="24"/>
        </w:rPr>
        <w:t xml:space="preserve"> </w:t>
      </w:r>
      <w:r>
        <w:rPr>
          <w:rFonts w:cs="Garamond" w:ascii="Garamond" w:hAnsi="Garamond"/>
          <w:sz w:val="24"/>
          <w:szCs w:val="24"/>
          <w:lang w:val="en-US"/>
        </w:rPr>
        <w:t>World</w:t>
      </w:r>
      <w:r>
        <w:rPr>
          <w:rFonts w:cs="Garamond" w:ascii="Garamond" w:hAnsi="Garamond"/>
          <w:sz w:val="24"/>
          <w:szCs w:val="24"/>
        </w:rPr>
        <w:t xml:space="preserve"> </w:t>
      </w:r>
      <w:r>
        <w:rPr>
          <w:rFonts w:cs="Garamond" w:ascii="Garamond" w:hAnsi="Garamond"/>
          <w:sz w:val="24"/>
          <w:szCs w:val="24"/>
          <w:lang w:val="en-US"/>
        </w:rPr>
        <w:t>Coins</w:t>
      </w:r>
      <w:r>
        <w:rPr>
          <w:rFonts w:cs="Garamond" w:ascii="Garamond" w:hAnsi="Garamond"/>
          <w:sz w:val="24"/>
          <w:szCs w:val="24"/>
        </w:rPr>
        <w:t xml:space="preserve">, 2015, </w:t>
      </w:r>
      <w:r>
        <w:rPr>
          <w:rFonts w:cs="Garamond" w:ascii="Garamond" w:hAnsi="Garamond"/>
          <w:sz w:val="24"/>
          <w:szCs w:val="24"/>
          <w:lang w:val="en-US"/>
        </w:rPr>
        <w:t>p</w:t>
      </w:r>
      <w:r>
        <w:rPr>
          <w:rFonts w:cs="Garamond" w:ascii="Garamond" w:hAnsi="Garamond"/>
          <w:sz w:val="24"/>
          <w:szCs w:val="24"/>
        </w:rPr>
        <w:t xml:space="preserve">. 292, </w:t>
      </w:r>
      <w:r>
        <w:rPr>
          <w:rFonts w:cs="Garamond" w:ascii="Garamond" w:hAnsi="Garamond"/>
          <w:sz w:val="24"/>
          <w:szCs w:val="24"/>
          <w:lang w:val="en-US"/>
        </w:rPr>
        <w:t>KM</w:t>
      </w:r>
      <w:r>
        <w:rPr>
          <w:rFonts w:cs="Garamond" w:ascii="Garamond" w:hAnsi="Garamond"/>
          <w:sz w:val="24"/>
          <w:szCs w:val="24"/>
        </w:rPr>
        <w:t>#195].</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t>Аналогичные монеты опубликованы в [</w:t>
      </w:r>
      <w:r>
        <w:rPr>
          <w:rFonts w:cs="Garamond" w:ascii="Garamond" w:hAnsi="Garamond"/>
          <w:sz w:val="24"/>
          <w:szCs w:val="24"/>
          <w:lang w:val="en-US"/>
        </w:rPr>
        <w:t>Pere</w:t>
      </w:r>
      <w:r>
        <w:rPr>
          <w:rFonts w:cs="Garamond" w:ascii="Garamond" w:hAnsi="Garamond"/>
          <w:sz w:val="24"/>
          <w:szCs w:val="24"/>
        </w:rPr>
        <w:t xml:space="preserve">, 1968, </w:t>
      </w:r>
      <w:r>
        <w:rPr>
          <w:rFonts w:cs="Garamond" w:ascii="Garamond" w:hAnsi="Garamond"/>
          <w:sz w:val="24"/>
          <w:szCs w:val="24"/>
          <w:lang w:val="en-US"/>
        </w:rPr>
        <w:t>S</w:t>
      </w:r>
      <w:r>
        <w:rPr>
          <w:rFonts w:cs="Garamond" w:ascii="Garamond" w:hAnsi="Garamond"/>
          <w:sz w:val="24"/>
          <w:szCs w:val="24"/>
        </w:rPr>
        <w:t xml:space="preserve">. 246, </w:t>
      </w:r>
      <w:r>
        <w:rPr>
          <w:rFonts w:cs="Garamond" w:ascii="Garamond" w:hAnsi="Garamond"/>
          <w:sz w:val="24"/>
          <w:szCs w:val="24"/>
          <w:lang w:val="en-US"/>
        </w:rPr>
        <w:t>N</w:t>
      </w:r>
      <w:r>
        <w:rPr>
          <w:rFonts w:cs="Garamond" w:ascii="Garamond" w:hAnsi="Garamond"/>
          <w:sz w:val="24"/>
          <w:szCs w:val="24"/>
        </w:rPr>
        <w:t xml:space="preserve">. 780]. </w:t>
      </w:r>
      <w:r>
        <w:rPr>
          <w:rFonts w:cs="Garamond" w:ascii="Garamond" w:hAnsi="Garamond"/>
          <w:i/>
          <w:sz w:val="24"/>
          <w:szCs w:val="24"/>
        </w:rPr>
        <w:t>Бучук хайрийе</w:t>
      </w:r>
      <w:r>
        <w:rPr>
          <w:rFonts w:cs="Garamond" w:ascii="Garamond" w:hAnsi="Garamond"/>
          <w:sz w:val="24"/>
          <w:szCs w:val="24"/>
        </w:rPr>
        <w:t xml:space="preserve"> — половина хайрийе</w:t>
      </w:r>
      <w:r>
        <w:rPr>
          <w:rStyle w:val="Style14"/>
          <w:rStyle w:val="Style20"/>
          <w:rFonts w:cs="Garamond" w:ascii="Garamond" w:hAnsi="Garamond"/>
          <w:sz w:val="24"/>
          <w:szCs w:val="24"/>
        </w:rPr>
        <w:footnoteReference w:id="5"/>
      </w:r>
      <w:r>
        <w:rPr>
          <w:rFonts w:cs="Garamond" w:ascii="Garamond" w:hAnsi="Garamond"/>
          <w:sz w:val="24"/>
          <w:szCs w:val="24"/>
        </w:rPr>
        <w:t xml:space="preserve"> — является ½ основного номинала золотых османских монет, собирательно называвшихся </w:t>
      </w:r>
      <w:r>
        <w:rPr>
          <w:rFonts w:cs="Garamond" w:ascii="Garamond" w:hAnsi="Garamond"/>
          <w:i/>
          <w:sz w:val="24"/>
          <w:szCs w:val="24"/>
        </w:rPr>
        <w:t>зери махбуб</w:t>
      </w:r>
      <w:r>
        <w:rPr>
          <w:rFonts w:cs="Garamond" w:ascii="Garamond" w:hAnsi="Garamond"/>
          <w:sz w:val="24"/>
          <w:szCs w:val="24"/>
        </w:rPr>
        <w:t>, то есть «любимое золото». В Египте монеты половинного номинала этого типа чеканились с 1828 по 1836 гг. При Махмуде </w:t>
      </w:r>
      <w:r>
        <w:rPr>
          <w:rFonts w:cs="Garamond" w:ascii="Garamond" w:hAnsi="Garamond"/>
          <w:sz w:val="24"/>
          <w:szCs w:val="24"/>
          <w:lang w:val="en-US"/>
        </w:rPr>
        <w:t>II</w:t>
      </w:r>
      <w:r>
        <w:rPr>
          <w:rFonts w:cs="Garamond" w:ascii="Garamond" w:hAnsi="Garamond"/>
          <w:sz w:val="24"/>
          <w:szCs w:val="24"/>
        </w:rPr>
        <w:t xml:space="preserve"> там также выпускались </w:t>
      </w:r>
      <w:r>
        <w:rPr>
          <w:rFonts w:cs="Garamond" w:ascii="Garamond" w:hAnsi="Garamond"/>
          <w:i/>
          <w:sz w:val="24"/>
          <w:szCs w:val="24"/>
        </w:rPr>
        <w:t xml:space="preserve">алтыны </w:t>
      </w:r>
      <w:r>
        <w:rPr>
          <w:rFonts w:cs="Garamond" w:ascii="Garamond" w:hAnsi="Garamond"/>
          <w:sz w:val="24"/>
          <w:szCs w:val="24"/>
        </w:rPr>
        <w:t>—</w:t>
      </w:r>
      <w:r>
        <w:rPr>
          <w:rFonts w:cs="Garamond" w:ascii="Garamond" w:hAnsi="Garamond"/>
          <w:i/>
          <w:sz w:val="24"/>
          <w:szCs w:val="24"/>
        </w:rPr>
        <w:t xml:space="preserve"> зери махбуб</w:t>
      </w:r>
      <w:r>
        <w:rPr>
          <w:rFonts w:cs="Garamond" w:ascii="Garamond" w:hAnsi="Garamond"/>
          <w:sz w:val="24"/>
          <w:szCs w:val="24"/>
        </w:rPr>
        <w:t xml:space="preserve"> и совсем мелкие золотые монеты в ¼</w:t>
      </w:r>
      <w:r>
        <w:rPr>
          <w:rFonts w:cs="Garamond" w:ascii="Garamond" w:hAnsi="Garamond"/>
          <w:sz w:val="24"/>
          <w:szCs w:val="24"/>
          <w:lang w:val="en-US"/>
        </w:rPr>
        <w:t> </w:t>
      </w:r>
      <w:r>
        <w:rPr>
          <w:rFonts w:cs="Garamond" w:ascii="Garamond" w:hAnsi="Garamond"/>
          <w:sz w:val="24"/>
          <w:szCs w:val="24"/>
        </w:rPr>
        <w:t>основного номинала.</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end="-31" w:firstLine="720"/>
        <w:contextualSpacing/>
        <w:jc w:val="both"/>
        <w:rPr/>
      </w:pPr>
      <w:r>
        <w:rPr>
          <w:rFonts w:cs="Garamond" w:ascii="Garamond" w:hAnsi="Garamond"/>
          <w:b/>
          <w:sz w:val="24"/>
          <w:szCs w:val="24"/>
        </w:rPr>
        <w:t>3</w:t>
      </w:r>
      <w:r>
        <w:rPr>
          <w:rFonts w:cs="Garamond" w:ascii="Garamond" w:hAnsi="Garamond"/>
          <w:sz w:val="24"/>
          <w:szCs w:val="24"/>
        </w:rPr>
        <w:t>. Фальшивый бучук хайрийе (1/2 хайрийе) (</w:t>
      </w:r>
      <w:r>
        <w:rPr>
          <w:rFonts w:cs="Garamond" w:ascii="Garamond" w:hAnsi="Garamond"/>
          <w:i/>
          <w:sz w:val="24"/>
          <w:szCs w:val="24"/>
        </w:rPr>
        <w:t>илл. 1.3</w:t>
      </w:r>
      <w:r>
        <w:rPr>
          <w:rFonts w:cs="Garamond" w:ascii="Garamond" w:hAnsi="Garamond"/>
          <w:sz w:val="24"/>
          <w:szCs w:val="24"/>
        </w:rPr>
        <w:t>) османского султана Махмуда </w:t>
      </w:r>
      <w:r>
        <w:rPr>
          <w:rFonts w:cs="Garamond" w:ascii="Garamond" w:hAnsi="Garamond"/>
          <w:sz w:val="24"/>
          <w:szCs w:val="24"/>
          <w:lang w:val="en-US"/>
        </w:rPr>
        <w:t>II</w:t>
      </w:r>
      <w:r>
        <w:rPr>
          <w:rFonts w:cs="Garamond" w:ascii="Garamond" w:hAnsi="Garamond"/>
          <w:sz w:val="24"/>
          <w:szCs w:val="24"/>
        </w:rPr>
        <w:t xml:space="preserve"> (1223–1255 гг. х.=1808–1839 гг.). Медь, слабые следы позолоты.</w:t>
      </w:r>
    </w:p>
    <w:p>
      <w:pPr>
        <w:pStyle w:val="Normal"/>
        <w:spacing w:before="0" w:after="0"/>
        <w:ind w:end="-31" w:hanging="0"/>
        <w:contextualSpacing/>
        <w:jc w:val="both"/>
        <w:rPr/>
      </w:pPr>
      <w:r>
        <w:rPr>
          <w:rFonts w:cs="Garamond" w:ascii="Garamond" w:hAnsi="Garamond"/>
          <w:sz w:val="24"/>
          <w:szCs w:val="24"/>
        </w:rPr>
        <w:t>Оформление и легенды аналогичны монете № 2, год правления не виден.</w:t>
      </w:r>
    </w:p>
    <w:p>
      <w:pPr>
        <w:pStyle w:val="Normal"/>
        <w:spacing w:before="0" w:after="0"/>
        <w:ind w:end="-31" w:hanging="0"/>
        <w:contextualSpacing/>
        <w:jc w:val="both"/>
        <w:rPr>
          <w:rFonts w:ascii="Garamond" w:hAnsi="Garamond" w:cs="Garamond"/>
          <w:sz w:val="24"/>
          <w:szCs w:val="24"/>
        </w:rPr>
      </w:pPr>
      <w:r>
        <w:rPr>
          <w:rFonts w:cs="Garamond" w:ascii="Garamond" w:hAnsi="Garamond"/>
          <w:sz w:val="24"/>
          <w:szCs w:val="24"/>
        </w:rPr>
        <w:t>Вес неизвестен, диаметр 1,71 см, толщина 0,03 см, сохранность плохая, металл сильно корродирован.</w:t>
      </w:r>
    </w:p>
    <w:p>
      <w:pPr>
        <w:pStyle w:val="Normal"/>
        <w:spacing w:before="0" w:after="0"/>
        <w:ind w:end="-31" w:hanging="0"/>
        <w:contextualSpacing/>
        <w:jc w:val="both"/>
        <w:rPr>
          <w:rFonts w:ascii="Garamond" w:hAnsi="Garamond" w:cs="Garamond"/>
          <w:sz w:val="24"/>
          <w:szCs w:val="24"/>
        </w:rPr>
      </w:pPr>
      <w:r>
        <w:rPr>
          <w:rFonts w:cs="Garamond" w:ascii="Garamond" w:hAnsi="Garamond"/>
          <w:sz w:val="24"/>
          <w:szCs w:val="24"/>
        </w:rPr>
        <w:t>Гурт зубчатый.</w:t>
      </w:r>
    </w:p>
    <w:p>
      <w:pPr>
        <w:pStyle w:val="Normal"/>
        <w:spacing w:before="0" w:after="0"/>
        <w:ind w:end="-31" w:hanging="0"/>
        <w:contextualSpacing/>
        <w:jc w:val="both"/>
        <w:rPr/>
      </w:pPr>
      <w:r>
        <w:rPr>
          <w:rFonts w:cs="Garamond" w:ascii="Garamond" w:hAnsi="Garamond"/>
          <w:sz w:val="24"/>
          <w:szCs w:val="24"/>
        </w:rPr>
        <w:t>Полевой шифр 19/19-11/</w:t>
      </w:r>
      <w:r>
        <w:rPr>
          <w:rFonts w:cs="Garamond" w:ascii="Garamond" w:hAnsi="Garamond"/>
          <w:sz w:val="24"/>
          <w:szCs w:val="24"/>
          <w:lang w:val="en-US"/>
        </w:rPr>
        <w:t>m</w:t>
      </w:r>
      <w:r>
        <w:rPr>
          <w:rFonts w:cs="Garamond" w:ascii="Garamond" w:hAnsi="Garamond"/>
          <w:sz w:val="24"/>
          <w:szCs w:val="24"/>
        </w:rPr>
        <w:t xml:space="preserve">2. Условия находки: скальная гробница </w:t>
      </w:r>
      <w:r>
        <w:rPr>
          <w:rFonts w:cs="Garamond" w:ascii="Garamond" w:hAnsi="Garamond"/>
          <w:sz w:val="24"/>
          <w:szCs w:val="24"/>
          <w:lang w:val="en-US"/>
        </w:rPr>
        <w:t>GE </w:t>
      </w:r>
      <w:r>
        <w:rPr>
          <w:rFonts w:cs="Garamond" w:ascii="Garamond" w:hAnsi="Garamond"/>
          <w:sz w:val="24"/>
          <w:szCs w:val="24"/>
        </w:rPr>
        <w:t>19, шахта 11, слой 1, глубина -10-60 см.</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t>С краю в монете пробито отверстие инструментом типа ножа, по-видимому, таким образом она была выведена («погашена») из обращения как фальшивая, т. к. оригинальная должна быть из золота.</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r>
    </w:p>
    <w:p>
      <w:pPr>
        <w:pStyle w:val="Normal"/>
        <w:spacing w:before="0" w:after="0"/>
        <w:ind w:end="-31" w:firstLine="720"/>
        <w:contextualSpacing/>
        <w:jc w:val="both"/>
        <w:rPr>
          <w:rFonts w:ascii="Garamond" w:hAnsi="Garamond" w:cs="Garamond"/>
          <w:b/>
          <w:b/>
          <w:smallCaps/>
          <w:sz w:val="24"/>
          <w:szCs w:val="24"/>
        </w:rPr>
      </w:pPr>
      <w:r>
        <w:rPr>
          <w:rFonts w:cs="Garamond" w:ascii="Garamond" w:hAnsi="Garamond"/>
          <w:b/>
          <w:smallCaps/>
          <w:sz w:val="24"/>
          <w:szCs w:val="24"/>
        </w:rPr>
        <w:t>Исторический контекст</w:t>
      </w:r>
    </w:p>
    <w:p>
      <w:pPr>
        <w:pStyle w:val="Normal"/>
        <w:spacing w:before="0" w:after="0"/>
        <w:ind w:end="-31" w:firstLine="720"/>
        <w:contextualSpacing/>
        <w:jc w:val="both"/>
        <w:rPr>
          <w:rFonts w:ascii="Garamond" w:hAnsi="Garamond" w:cs="Garamond"/>
          <w:b/>
          <w:b/>
          <w:smallCaps/>
          <w:sz w:val="4"/>
          <w:szCs w:val="4"/>
        </w:rPr>
      </w:pPr>
      <w:r>
        <w:rPr>
          <w:rFonts w:cs="Garamond" w:ascii="Garamond" w:hAnsi="Garamond"/>
          <w:b/>
          <w:smallCaps/>
          <w:sz w:val="4"/>
          <w:szCs w:val="4"/>
        </w:rPr>
      </w:r>
    </w:p>
    <w:p>
      <w:pPr>
        <w:pStyle w:val="Normal"/>
        <w:autoSpaceDE w:val="false"/>
        <w:ind w:end="-31" w:firstLine="720"/>
        <w:jc w:val="both"/>
        <w:rPr>
          <w:rFonts w:ascii="Garamond" w:hAnsi="Garamond" w:cs="Garamond"/>
          <w:sz w:val="24"/>
          <w:szCs w:val="24"/>
        </w:rPr>
      </w:pPr>
      <w:r>
        <w:rPr>
          <w:rFonts w:cs="Garamond" w:ascii="Garamond" w:hAnsi="Garamond"/>
          <w:sz w:val="24"/>
          <w:szCs w:val="24"/>
        </w:rPr>
        <w:t xml:space="preserve">Одна из рассмотренных в статье монет — медный фельс — была отчеканена в первой половине </w:t>
      </w:r>
      <w:r>
        <w:rPr>
          <w:rFonts w:cs="Garamond" w:ascii="Garamond" w:hAnsi="Garamond"/>
          <w:sz w:val="24"/>
          <w:szCs w:val="24"/>
          <w:lang w:val="en-US"/>
        </w:rPr>
        <w:t>XIV</w:t>
      </w:r>
      <w:r>
        <w:rPr>
          <w:rFonts w:cs="Garamond" w:ascii="Garamond" w:hAnsi="Garamond"/>
          <w:sz w:val="24"/>
          <w:szCs w:val="24"/>
        </w:rPr>
        <w:t> в. при ан-Насире Мухаммаде </w:t>
      </w:r>
      <w:r>
        <w:rPr>
          <w:rFonts w:cs="Garamond" w:ascii="Garamond" w:hAnsi="Garamond"/>
          <w:sz w:val="24"/>
          <w:szCs w:val="24"/>
          <w:lang w:val="en-US"/>
        </w:rPr>
        <w:t>I</w:t>
      </w:r>
      <w:r>
        <w:rPr>
          <w:rFonts w:cs="Garamond" w:ascii="Garamond" w:hAnsi="Garamond"/>
          <w:sz w:val="24"/>
          <w:szCs w:val="24"/>
        </w:rPr>
        <w:t xml:space="preserve">, девятом султане Египта, происходившем из мамлюков-бахритов и трижды восходившем на престол. Примечательно, что других материальных свидетельств посещения людьми восточной Гизы пока не найдено: редкая керамика датируется либо периодом правления Фатимидов (909–1169) и Айюбидов (1169–1252) [Малых, 2018, с. 174], либо интервалом от </w:t>
      </w:r>
      <w:r>
        <w:rPr>
          <w:rFonts w:cs="Garamond" w:ascii="Garamond" w:hAnsi="Garamond"/>
          <w:sz w:val="24"/>
          <w:szCs w:val="24"/>
          <w:lang w:val="en-US"/>
        </w:rPr>
        <w:t>XVIII</w:t>
      </w:r>
      <w:r>
        <w:rPr>
          <w:rFonts w:cs="Garamond" w:ascii="Garamond" w:hAnsi="Garamond"/>
          <w:sz w:val="24"/>
          <w:szCs w:val="24"/>
        </w:rPr>
        <w:t xml:space="preserve"> до начала </w:t>
      </w:r>
      <w:r>
        <w:rPr>
          <w:rFonts w:cs="Garamond" w:ascii="Garamond" w:hAnsi="Garamond"/>
          <w:sz w:val="24"/>
          <w:szCs w:val="24"/>
          <w:lang w:val="en-US"/>
        </w:rPr>
        <w:t>XX</w:t>
      </w:r>
      <w:r>
        <w:rPr>
          <w:rFonts w:cs="Garamond" w:ascii="Garamond" w:hAnsi="Garamond"/>
          <w:sz w:val="24"/>
          <w:szCs w:val="24"/>
        </w:rPr>
        <w:t> вв., в последнем случае включая достаточно репрезентативную коллекцию фрагментов курительных трубок-оттоманок, в том числе привозных [Малых, 2020]. Однако имеющиеся письменные свидетельства сообщают об интересе к пирамидам Гизы и окружавшим их частным гробницам со стороны охотников за сокровищами и арабских путешественников во времена Салах ад-Дина (1169–1193)</w:t>
      </w:r>
      <w:r>
        <w:rPr>
          <w:rStyle w:val="Style14"/>
          <w:rStyle w:val="Style20"/>
          <w:rFonts w:cs="Garamond" w:ascii="Garamond" w:hAnsi="Garamond"/>
          <w:sz w:val="24"/>
          <w:szCs w:val="24"/>
        </w:rPr>
        <w:footnoteReference w:id="6"/>
      </w:r>
      <w:r>
        <w:rPr>
          <w:rFonts w:cs="Garamond" w:ascii="Garamond" w:hAnsi="Garamond"/>
          <w:sz w:val="24"/>
          <w:szCs w:val="24"/>
        </w:rPr>
        <w:t xml:space="preserve">. Подробные сведения о посещении пирамид и гробниц Гизы и добытых там древностях содержатся в книге арабского ученого и врача  </w:t>
      </w:r>
      <w:r>
        <w:rPr>
          <w:rFonts w:eastAsia="MS Mincho;MS Gothic" w:cs="Garamond" w:ascii="Garamond" w:hAnsi="Garamond"/>
          <w:sz w:val="24"/>
          <w:szCs w:val="24"/>
        </w:rPr>
        <w:t>̒</w:t>
      </w:r>
      <w:r>
        <w:rPr>
          <w:rFonts w:cs="Garamond" w:ascii="Garamond" w:hAnsi="Garamond"/>
          <w:sz w:val="24"/>
          <w:szCs w:val="24"/>
        </w:rPr>
        <w:t xml:space="preserve">Абд ал-Латифа ал-Багдади, посетившего Египет в самом начале </w:t>
      </w:r>
      <w:r>
        <w:rPr>
          <w:rFonts w:cs="Garamond" w:ascii="Garamond" w:hAnsi="Garamond"/>
          <w:sz w:val="24"/>
          <w:szCs w:val="24"/>
          <w:lang w:val="en-US"/>
        </w:rPr>
        <w:t>XIII</w:t>
      </w:r>
      <w:r>
        <w:rPr>
          <w:rFonts w:cs="Garamond" w:ascii="Garamond" w:hAnsi="Garamond"/>
          <w:sz w:val="24"/>
          <w:szCs w:val="24"/>
        </w:rPr>
        <w:t> в. [</w:t>
      </w:r>
      <w:r>
        <w:rPr>
          <w:rFonts w:eastAsia="MS Mincho;MS Gothic" w:cs="Garamond" w:ascii="Garamond" w:hAnsi="Garamond"/>
          <w:sz w:val="24"/>
          <w:szCs w:val="24"/>
        </w:rPr>
        <w:t>̒</w:t>
      </w:r>
      <w:r>
        <w:rPr>
          <w:rFonts w:cs="Garamond" w:ascii="Garamond" w:hAnsi="Garamond"/>
          <w:sz w:val="24"/>
          <w:szCs w:val="24"/>
        </w:rPr>
        <w:t>Абд ал-Латиф ал-Багдади, 2013, с. 111–181]. Большинство же подобных визитов были, вероятно, достаточно краткими и практически не оставили вещественных следов.</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t xml:space="preserve">Иначе дело обстоит с предметами </w:t>
      </w:r>
      <w:r>
        <w:rPr>
          <w:rFonts w:cs="Garamond" w:ascii="Garamond" w:hAnsi="Garamond"/>
          <w:sz w:val="24"/>
          <w:szCs w:val="24"/>
          <w:lang w:val="en-US"/>
        </w:rPr>
        <w:t>XIX</w:t>
      </w:r>
      <w:r>
        <w:rPr>
          <w:rFonts w:cs="Garamond" w:ascii="Garamond" w:hAnsi="Garamond"/>
          <w:sz w:val="24"/>
          <w:szCs w:val="24"/>
        </w:rPr>
        <w:t> в., встреченными в верхних перемешанных слоях, заполнявших помещения скальных гробниц восточной Гизы: их количество и разнообразие (от уже упомянутых курительных трубок, флаконов из-под китайской черной туши и фарфоровых палитр до медных позолоченных запонок, обломков стеклянных браслетов, аптечных пузырьков и бутылок из-под виски) свидетельствует об активном посещении этой территории и местными жителями, и европейскими путешественниками. Последние использовали скальные гробницы восточной Гизы как места ночевок, а некоторые из них были преобразованы в своеобразные постоялые дворы</w:t>
      </w:r>
      <w:r>
        <w:rPr>
          <w:rStyle w:val="Style14"/>
          <w:rStyle w:val="Style20"/>
          <w:rFonts w:cs="Garamond" w:ascii="Garamond" w:hAnsi="Garamond"/>
          <w:sz w:val="24"/>
          <w:szCs w:val="24"/>
        </w:rPr>
        <w:footnoteReference w:id="7"/>
      </w:r>
      <w:r>
        <w:rPr>
          <w:rFonts w:cs="Garamond" w:ascii="Garamond" w:hAnsi="Garamond"/>
          <w:sz w:val="24"/>
          <w:szCs w:val="24"/>
        </w:rPr>
        <w:t xml:space="preserve">. Соответственно, верхняя часть заполнения шахты 11, где был обнаружен фальшивый </w:t>
      </w:r>
      <w:r>
        <w:rPr>
          <w:rFonts w:cs="Garamond" w:ascii="Garamond" w:hAnsi="Garamond"/>
          <w:i/>
          <w:sz w:val="24"/>
          <w:szCs w:val="24"/>
        </w:rPr>
        <w:t>бучук хайрийе</w:t>
      </w:r>
      <w:r>
        <w:rPr>
          <w:rFonts w:cs="Garamond" w:ascii="Garamond" w:hAnsi="Garamond"/>
          <w:sz w:val="24"/>
          <w:szCs w:val="24"/>
        </w:rPr>
        <w:t xml:space="preserve">, фактически представляла собой мусорный слой, типичный для поселений и включавший не только поломанные или утерянные предметы, но и отдельные кости мелкого рогатого скота со следами разделки. Слой ниже, где залегал золотой </w:t>
      </w:r>
      <w:r>
        <w:rPr>
          <w:rFonts w:cs="Garamond" w:ascii="Garamond" w:hAnsi="Garamond"/>
          <w:i/>
          <w:sz w:val="24"/>
          <w:szCs w:val="24"/>
        </w:rPr>
        <w:t>бучук хайрийе</w:t>
      </w:r>
      <w:r>
        <w:rPr>
          <w:rFonts w:cs="Garamond" w:ascii="Garamond" w:hAnsi="Garamond"/>
          <w:sz w:val="24"/>
          <w:szCs w:val="24"/>
        </w:rPr>
        <w:t xml:space="preserve">, имел несколько иной характер: наряду с поздним материалом </w:t>
      </w:r>
      <w:r>
        <w:rPr>
          <w:rFonts w:cs="Garamond" w:ascii="Garamond" w:hAnsi="Garamond"/>
          <w:sz w:val="24"/>
          <w:szCs w:val="24"/>
          <w:lang w:val="en-US"/>
        </w:rPr>
        <w:t>XIX</w:t>
      </w:r>
      <w:r>
        <w:rPr>
          <w:rFonts w:cs="Garamond" w:ascii="Garamond" w:hAnsi="Garamond"/>
          <w:sz w:val="24"/>
          <w:szCs w:val="24"/>
        </w:rPr>
        <w:t xml:space="preserve"> в. здесь присутствовали многочисленные фрагменты мумифицированных человеческих тел, обрывки льняных бинтов со следами бальзамирующих веществ, египетская керамика </w:t>
      </w:r>
      <w:r>
        <w:rPr>
          <w:rFonts w:cs="Garamond" w:ascii="Garamond" w:hAnsi="Garamond"/>
          <w:sz w:val="24"/>
          <w:szCs w:val="24"/>
          <w:lang w:val="en-US"/>
        </w:rPr>
        <w:t>I</w:t>
      </w:r>
      <w:r>
        <w:rPr>
          <w:rFonts w:cs="Garamond" w:ascii="Garamond" w:hAnsi="Garamond"/>
          <w:sz w:val="24"/>
          <w:szCs w:val="24"/>
        </w:rPr>
        <w:t> тыс. до н. э. и амулет-</w:t>
      </w:r>
      <w:r>
        <w:rPr>
          <w:rFonts w:cs="Garamond" w:ascii="Garamond" w:hAnsi="Garamond"/>
          <w:i/>
          <w:sz w:val="24"/>
          <w:szCs w:val="24"/>
        </w:rPr>
        <w:t xml:space="preserve">джед </w:t>
      </w:r>
      <w:r>
        <w:rPr>
          <w:rFonts w:cs="Garamond" w:ascii="Garamond" w:hAnsi="Garamond"/>
          <w:sz w:val="24"/>
          <w:szCs w:val="24"/>
        </w:rPr>
        <w:t xml:space="preserve">из халцедона. По-видимому, этот слой сформировался в результате деятельности грабителей или ранних европейских туристов, которые в поисках мумий обследовали древний некрополь и потрошили останки умерших, чтобы извлечь из них ценности — </w:t>
      </w:r>
      <w:r>
        <w:rPr>
          <w:rFonts w:cs="Garamond" w:ascii="Garamond" w:hAnsi="Garamond"/>
          <w:sz w:val="24"/>
          <w:szCs w:val="24"/>
          <w:lang w:eastAsia="en-GB"/>
        </w:rPr>
        <w:t xml:space="preserve">украшения, амулеты, изображения богов или их священных животных. О таком своеобразном промысле, процветавшем в Гизе и других древних памятниках, сообщали путешественники </w:t>
      </w:r>
      <w:r>
        <w:rPr>
          <w:rFonts w:cs="Garamond" w:ascii="Garamond" w:hAnsi="Garamond"/>
          <w:sz w:val="24"/>
          <w:szCs w:val="24"/>
          <w:lang w:val="en-US" w:eastAsia="en-GB"/>
        </w:rPr>
        <w:t>XIX </w:t>
      </w:r>
      <w:r>
        <w:rPr>
          <w:rFonts w:cs="Garamond" w:ascii="Garamond" w:hAnsi="Garamond"/>
          <w:sz w:val="24"/>
          <w:szCs w:val="24"/>
          <w:lang w:eastAsia="en-GB"/>
        </w:rPr>
        <w:t>в. [</w:t>
      </w:r>
      <w:r>
        <w:rPr>
          <w:rFonts w:cs="Garamond" w:ascii="Garamond" w:hAnsi="Garamond"/>
          <w:sz w:val="24"/>
          <w:szCs w:val="24"/>
        </w:rPr>
        <w:t>Лебедев, Малых, 2020]. Вероятно, золотая монета была утеряна одним из тех, кто занимался обыском мумий.</w:t>
      </w:r>
    </w:p>
    <w:p>
      <w:pPr>
        <w:pStyle w:val="Normal"/>
        <w:spacing w:before="0" w:after="0"/>
        <w:ind w:end="-31" w:firstLine="720"/>
        <w:contextualSpacing/>
        <w:jc w:val="both"/>
        <w:rPr>
          <w:rFonts w:ascii="Garamond" w:hAnsi="Garamond" w:cs="Garamond"/>
          <w:sz w:val="24"/>
          <w:szCs w:val="24"/>
        </w:rPr>
      </w:pPr>
      <w:r>
        <w:rPr>
          <w:rFonts w:cs="Garamond" w:ascii="Garamond" w:hAnsi="Garamond"/>
          <w:sz w:val="24"/>
          <w:szCs w:val="24"/>
        </w:rPr>
        <w:t>Несмотря на редкость обнаружения мамлюкских и османских монет в некрополе</w:t>
      </w:r>
    </w:p>
    <w:p>
      <w:pPr>
        <w:pStyle w:val="Normal"/>
        <w:spacing w:before="0" w:after="0"/>
        <w:ind w:end="-31" w:hanging="0"/>
        <w:contextualSpacing/>
        <w:jc w:val="both"/>
        <w:rPr/>
      </w:pPr>
      <w:r>
        <w:rPr>
          <w:rFonts w:cs="Garamond" w:ascii="Garamond" w:hAnsi="Garamond"/>
          <w:sz w:val="24"/>
          <w:szCs w:val="24"/>
        </w:rPr>
        <w:t>Гиза, их находки являются выразительными следами определенных событий, происходивших в средние века и новейшее время на древнеегипетском кладбище.</w:t>
      </w:r>
    </w:p>
    <w:p>
      <w:pPr>
        <w:pStyle w:val="Normal"/>
        <w:spacing w:before="0" w:after="0"/>
        <w:ind w:end="-31" w:firstLine="720"/>
        <w:contextualSpacing/>
        <w:jc w:val="both"/>
        <w:rPr>
          <w:rFonts w:ascii="Garamond" w:hAnsi="Garamond" w:cs="Garamond"/>
          <w:sz w:val="22"/>
          <w:szCs w:val="22"/>
        </w:rPr>
      </w:pPr>
      <w:r>
        <w:rPr>
          <w:rFonts w:cs="Garamond" w:ascii="Garamond" w:hAnsi="Garamond"/>
          <w:sz w:val="22"/>
          <w:szCs w:val="22"/>
        </w:rPr>
      </w:r>
    </w:p>
    <w:p>
      <w:pPr>
        <w:pStyle w:val="Normal"/>
        <w:spacing w:before="0" w:after="0"/>
        <w:ind w:start="720" w:end="-31" w:hanging="720"/>
        <w:contextualSpacing/>
        <w:jc w:val="center"/>
        <w:rPr>
          <w:rFonts w:ascii="Garamond" w:hAnsi="Garamond" w:cs="Garamond"/>
          <w:sz w:val="24"/>
          <w:szCs w:val="24"/>
        </w:rPr>
      </w:pPr>
      <w:r>
        <w:rPr>
          <w:rFonts w:cs="Garamond" w:ascii="Garamond" w:hAnsi="Garamond"/>
          <w:sz w:val="24"/>
          <w:szCs w:val="24"/>
        </w:rPr>
        <w:t xml:space="preserve">Литература / </w:t>
      </w:r>
      <w:r>
        <w:rPr>
          <w:rFonts w:cs="Garamond" w:ascii="Garamond" w:hAnsi="Garamond"/>
          <w:sz w:val="24"/>
          <w:szCs w:val="24"/>
          <w:lang w:val="en-US"/>
        </w:rPr>
        <w:t>References</w:t>
      </w:r>
    </w:p>
    <w:p>
      <w:pPr>
        <w:pStyle w:val="Normal"/>
        <w:spacing w:before="0" w:after="0"/>
        <w:ind w:start="720" w:end="-31" w:hanging="720"/>
        <w:contextualSpacing/>
        <w:jc w:val="both"/>
        <w:rPr>
          <w:rFonts w:ascii="Garamond" w:hAnsi="Garamond" w:cs="Garamond"/>
          <w:sz w:val="8"/>
          <w:szCs w:val="8"/>
        </w:rPr>
      </w:pPr>
      <w:r>
        <w:rPr>
          <w:rFonts w:cs="Garamond" w:ascii="Garamond" w:hAnsi="Garamond"/>
          <w:sz w:val="8"/>
          <w:szCs w:val="8"/>
        </w:rPr>
      </w:r>
    </w:p>
    <w:p>
      <w:pPr>
        <w:pStyle w:val="Normal"/>
        <w:ind w:start="720" w:end="-31" w:hanging="720"/>
        <w:jc w:val="both"/>
        <w:rPr>
          <w:rFonts w:ascii="Garamond" w:hAnsi="Garamond" w:eastAsia="Calibri" w:cs="Garamond"/>
          <w:sz w:val="22"/>
          <w:szCs w:val="22"/>
        </w:rPr>
      </w:pPr>
      <w:r>
        <w:rPr>
          <w:rFonts w:eastAsia="MS Mincho;MS Gothic" w:cs="Garamond" w:ascii="Garamond" w:hAnsi="Garamond"/>
          <w:sz w:val="24"/>
          <w:szCs w:val="24"/>
        </w:rPr>
        <w:t>̒</w:t>
      </w:r>
      <w:r>
        <w:rPr>
          <w:rFonts w:cs="Garamond" w:ascii="Garamond" w:hAnsi="Garamond"/>
          <w:sz w:val="22"/>
          <w:szCs w:val="22"/>
        </w:rPr>
        <w:t>Абд ал-Латиф ал-</w:t>
      </w:r>
      <w:r>
        <w:rPr>
          <w:rFonts w:eastAsia="Calibri" w:cs="Garamond" w:ascii="Garamond" w:hAnsi="Garamond"/>
          <w:sz w:val="22"/>
          <w:szCs w:val="22"/>
        </w:rPr>
        <w:t>Багдади</w:t>
      </w:r>
      <w:r>
        <w:rPr>
          <w:rFonts w:cs="Garamond" w:ascii="Garamond" w:hAnsi="Garamond"/>
          <w:sz w:val="22"/>
          <w:szCs w:val="22"/>
        </w:rPr>
        <w:t xml:space="preserve">. </w:t>
      </w:r>
      <w:r>
        <w:rPr>
          <w:rFonts w:cs="Garamond" w:ascii="Garamond" w:hAnsi="Garamond"/>
          <w:i/>
          <w:sz w:val="22"/>
          <w:szCs w:val="22"/>
        </w:rPr>
        <w:t xml:space="preserve">Описание Египта начала </w:t>
      </w:r>
      <w:r>
        <w:rPr>
          <w:rFonts w:cs="Garamond" w:ascii="Garamond" w:hAnsi="Garamond"/>
          <w:i/>
          <w:sz w:val="22"/>
          <w:szCs w:val="22"/>
          <w:lang w:val="en-US"/>
        </w:rPr>
        <w:t>XIII</w:t>
      </w:r>
      <w:r>
        <w:rPr>
          <w:rFonts w:cs="Garamond" w:ascii="Garamond" w:hAnsi="Garamond"/>
          <w:i/>
          <w:sz w:val="22"/>
          <w:szCs w:val="22"/>
        </w:rPr>
        <w:t xml:space="preserve"> века. Книга уведомления и рассмотрения дел виденных и событий засвидетельствованных на земле Египта</w:t>
      </w:r>
      <w:r>
        <w:rPr>
          <w:rFonts w:cs="Garamond" w:ascii="Garamond" w:hAnsi="Garamond"/>
          <w:sz w:val="22"/>
          <w:szCs w:val="22"/>
        </w:rPr>
        <w:t>. М</w:t>
      </w:r>
      <w:r>
        <w:rPr>
          <w:rFonts w:cs="Garamond" w:ascii="Garamond" w:hAnsi="Garamond"/>
          <w:sz w:val="22"/>
          <w:szCs w:val="22"/>
          <w:lang w:val="en-US"/>
        </w:rPr>
        <w:t>., 2013 [‘</w:t>
      </w:r>
      <w:r>
        <w:rPr>
          <w:rFonts w:cs="Garamond" w:ascii="Garamond" w:hAnsi="Garamond"/>
          <w:sz w:val="22"/>
          <w:szCs w:val="22"/>
          <w:shd w:fill="FFFFFF" w:val="clear"/>
          <w:lang w:val="en-US"/>
        </w:rPr>
        <w:t>Abd al-La</w:t>
      </w:r>
      <w:r>
        <w:rPr>
          <w:rFonts w:cs="Gandhari Unicode" w:ascii="Gandhari Unicode" w:hAnsi="Gandhari Unicode"/>
          <w:sz w:val="18"/>
          <w:szCs w:val="18"/>
          <w:shd w:fill="FFFFFF" w:val="clear"/>
          <w:lang w:val="en-US"/>
        </w:rPr>
        <w:t>ṭ</w:t>
      </w:r>
      <w:r>
        <w:rPr>
          <w:rFonts w:cs="Garamond" w:ascii="Garamond" w:hAnsi="Garamond"/>
          <w:sz w:val="22"/>
          <w:szCs w:val="22"/>
          <w:shd w:fill="FFFFFF" w:val="clear"/>
          <w:lang w:val="en-US"/>
        </w:rPr>
        <w:t xml:space="preserve">if al-Baghdadi. </w:t>
      </w:r>
      <w:r>
        <w:rPr>
          <w:rFonts w:cs="Garamond" w:ascii="Garamond" w:hAnsi="Garamond"/>
          <w:i/>
          <w:sz w:val="22"/>
          <w:szCs w:val="22"/>
          <w:shd w:fill="FFFFFF" w:val="clear"/>
          <w:lang w:val="en-US"/>
        </w:rPr>
        <w:t>Description of Egypt at the beginning of the XIII century. Book of the notification and consideration of cases seen and events witnessed in the land of Egypt</w:t>
      </w:r>
      <w:r>
        <w:rPr>
          <w:rFonts w:cs="Garamond" w:ascii="Garamond" w:hAnsi="Garamond"/>
          <w:sz w:val="22"/>
          <w:szCs w:val="22"/>
          <w:shd w:fill="FFFFFF" w:val="clear"/>
          <w:lang w:val="en-US"/>
        </w:rPr>
        <w:t>. Moscow</w:t>
      </w:r>
      <w:r>
        <w:rPr>
          <w:rFonts w:cs="Garamond" w:ascii="Garamond" w:hAnsi="Garamond"/>
          <w:sz w:val="22"/>
          <w:szCs w:val="22"/>
          <w:shd w:fill="FFFFFF" w:val="clear"/>
        </w:rPr>
        <w:t>, 2013 (</w:t>
      </w:r>
      <w:r>
        <w:rPr>
          <w:rFonts w:cs="Garamond" w:ascii="Garamond" w:hAnsi="Garamond"/>
          <w:sz w:val="22"/>
          <w:szCs w:val="22"/>
          <w:shd w:fill="FFFFFF" w:val="clear"/>
          <w:lang w:val="en-US"/>
        </w:rPr>
        <w:t>in</w:t>
      </w:r>
      <w:r>
        <w:rPr>
          <w:rFonts w:cs="Garamond" w:ascii="Garamond" w:hAnsi="Garamond"/>
          <w:sz w:val="22"/>
          <w:szCs w:val="22"/>
          <w:shd w:fill="FFFFFF" w:val="clear"/>
        </w:rPr>
        <w:t xml:space="preserve"> </w:t>
      </w:r>
      <w:r>
        <w:rPr>
          <w:rFonts w:cs="Garamond" w:ascii="Garamond" w:hAnsi="Garamond"/>
          <w:sz w:val="22"/>
          <w:szCs w:val="22"/>
          <w:shd w:fill="FFFFFF" w:val="clear"/>
          <w:lang w:val="en-US"/>
        </w:rPr>
        <w:t>Russian</w:t>
      </w:r>
      <w:r>
        <w:rPr>
          <w:rFonts w:cs="Garamond" w:ascii="Garamond" w:hAnsi="Garamond"/>
          <w:sz w:val="22"/>
          <w:szCs w:val="22"/>
          <w:shd w:fill="FFFFFF" w:val="clear"/>
        </w:rPr>
        <w:t>)</w:t>
      </w:r>
      <w:r>
        <w:rPr>
          <w:rFonts w:cs="Garamond" w:ascii="Garamond" w:hAnsi="Garamond"/>
          <w:sz w:val="22"/>
          <w:szCs w:val="22"/>
        </w:rPr>
        <w:t>].</w:t>
      </w:r>
    </w:p>
    <w:p>
      <w:pPr>
        <w:pStyle w:val="Normal"/>
        <w:ind w:start="720" w:end="-31" w:hanging="720"/>
        <w:jc w:val="both"/>
        <w:rPr>
          <w:rFonts w:ascii="Garamond" w:hAnsi="Garamond" w:eastAsia="Calibri" w:cs="Garamond"/>
          <w:sz w:val="22"/>
          <w:szCs w:val="22"/>
          <w:lang w:val="en-US"/>
        </w:rPr>
      </w:pPr>
      <w:r>
        <w:rPr>
          <w:rFonts w:eastAsia="Calibri" w:cs="Garamond" w:ascii="Garamond" w:hAnsi="Garamond"/>
          <w:sz w:val="22"/>
          <w:szCs w:val="22"/>
        </w:rPr>
        <w:t xml:space="preserve">Ветохов С. В., Лебедев М. А., Малых С. Е. Жизнь у подножия пирамид: из истории одной древнеегипетской гробницы в восточной Гизе. </w:t>
      </w:r>
      <w:r>
        <w:rPr>
          <w:rFonts w:cs="Garamond" w:ascii="Garamond" w:hAnsi="Garamond"/>
          <w:i/>
          <w:sz w:val="22"/>
          <w:szCs w:val="22"/>
        </w:rPr>
        <w:t xml:space="preserve">Древние памятники, культуры и прогресс. </w:t>
      </w:r>
      <w:r>
        <w:rPr>
          <w:rFonts w:eastAsia="TimesNewRomanPSMT;MS Gothic" w:cs="Garamond" w:ascii="Garamond" w:hAnsi="Garamond"/>
          <w:i/>
          <w:sz w:val="22"/>
          <w:szCs w:val="22"/>
          <w:lang w:val="en-US"/>
        </w:rPr>
        <w:t>A</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caelo</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usque</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ad</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centrum</w:t>
      </w:r>
      <w:r>
        <w:rPr>
          <w:rFonts w:eastAsia="TimesNewRomanPSMT;MS Gothic" w:cs="Garamond" w:ascii="Garamond" w:hAnsi="Garamond"/>
          <w:i/>
          <w:sz w:val="22"/>
          <w:szCs w:val="22"/>
        </w:rPr>
        <w:t xml:space="preserve">. </w:t>
      </w:r>
      <w:r>
        <w:rPr>
          <w:rFonts w:eastAsia="TimesNewRomanPSMT;MS Gothic" w:cs="Garamond" w:ascii="Garamond" w:hAnsi="Garamond"/>
          <w:i/>
          <w:sz w:val="22"/>
          <w:szCs w:val="22"/>
          <w:lang w:val="en-US"/>
        </w:rPr>
        <w:t>A potentia ad actum. Ad honores.</w:t>
      </w:r>
      <w:r>
        <w:rPr>
          <w:rFonts w:eastAsia="TimesNewRomanPSMT;MS Gothic" w:cs="Garamond" w:ascii="Garamond" w:hAnsi="Garamond"/>
          <w:sz w:val="22"/>
          <w:szCs w:val="22"/>
          <w:lang w:val="en-US"/>
        </w:rPr>
        <w:t xml:space="preserve"> </w:t>
      </w:r>
      <w:r>
        <w:rPr>
          <w:rFonts w:eastAsia="Calibri" w:cs="Garamond" w:ascii="Garamond" w:hAnsi="Garamond"/>
          <w:i/>
          <w:sz w:val="22"/>
          <w:szCs w:val="22"/>
        </w:rPr>
        <w:t>Сборник</w:t>
      </w:r>
      <w:r>
        <w:rPr>
          <w:rFonts w:eastAsia="Calibri" w:cs="Garamond" w:ascii="Garamond" w:hAnsi="Garamond"/>
          <w:i/>
          <w:sz w:val="22"/>
          <w:szCs w:val="22"/>
          <w:lang w:val="en-US"/>
        </w:rPr>
        <w:t xml:space="preserve">, </w:t>
      </w:r>
      <w:r>
        <w:rPr>
          <w:rFonts w:eastAsia="Calibri" w:cs="Garamond" w:ascii="Garamond" w:hAnsi="Garamond"/>
          <w:i/>
          <w:sz w:val="22"/>
          <w:szCs w:val="22"/>
        </w:rPr>
        <w:t>посвященный</w:t>
      </w:r>
      <w:r>
        <w:rPr>
          <w:rFonts w:eastAsia="Calibri" w:cs="Garamond" w:ascii="Garamond" w:hAnsi="Garamond"/>
          <w:i/>
          <w:sz w:val="22"/>
          <w:szCs w:val="22"/>
          <w:lang w:val="en-US"/>
        </w:rPr>
        <w:t xml:space="preserve"> </w:t>
      </w:r>
      <w:r>
        <w:rPr>
          <w:rFonts w:eastAsia="Calibri" w:cs="Garamond" w:ascii="Garamond" w:hAnsi="Garamond"/>
          <w:i/>
          <w:sz w:val="22"/>
          <w:szCs w:val="22"/>
        </w:rPr>
        <w:t>Д</w:t>
      </w:r>
      <w:r>
        <w:rPr>
          <w:rFonts w:eastAsia="Calibri" w:cs="Garamond" w:ascii="Garamond" w:hAnsi="Garamond"/>
          <w:i/>
          <w:sz w:val="22"/>
          <w:szCs w:val="22"/>
          <w:lang w:val="en-US"/>
        </w:rPr>
        <w:t>. </w:t>
      </w:r>
      <w:r>
        <w:rPr>
          <w:rFonts w:eastAsia="Calibri" w:cs="Garamond" w:ascii="Garamond" w:hAnsi="Garamond"/>
          <w:i/>
          <w:sz w:val="22"/>
          <w:szCs w:val="22"/>
        </w:rPr>
        <w:t>В</w:t>
      </w:r>
      <w:r>
        <w:rPr>
          <w:rFonts w:eastAsia="Calibri" w:cs="Garamond" w:ascii="Garamond" w:hAnsi="Garamond"/>
          <w:i/>
          <w:sz w:val="22"/>
          <w:szCs w:val="22"/>
          <w:lang w:val="en-US"/>
        </w:rPr>
        <w:t>. </w:t>
      </w:r>
      <w:r>
        <w:rPr>
          <w:rFonts w:eastAsia="Calibri" w:cs="Garamond" w:ascii="Garamond" w:hAnsi="Garamond"/>
          <w:i/>
          <w:sz w:val="22"/>
          <w:szCs w:val="22"/>
        </w:rPr>
        <w:t>Рукавишникову</w:t>
      </w:r>
      <w:r>
        <w:rPr>
          <w:rFonts w:eastAsia="Calibri" w:cs="Garamond" w:ascii="Garamond" w:hAnsi="Garamond"/>
          <w:sz w:val="22"/>
          <w:szCs w:val="22"/>
          <w:lang w:val="en-US"/>
        </w:rPr>
        <w:t xml:space="preserve">. </w:t>
      </w:r>
      <w:r>
        <w:rPr>
          <w:rFonts w:eastAsia="Calibri" w:cs="Garamond" w:ascii="Garamond" w:hAnsi="Garamond"/>
          <w:sz w:val="22"/>
          <w:szCs w:val="22"/>
        </w:rPr>
        <w:t>М</w:t>
      </w:r>
      <w:r>
        <w:rPr>
          <w:rFonts w:eastAsia="Calibri" w:cs="Garamond" w:ascii="Garamond" w:hAnsi="Garamond"/>
          <w:sz w:val="22"/>
          <w:szCs w:val="22"/>
          <w:lang w:val="en-US"/>
        </w:rPr>
        <w:t xml:space="preserve">., 2020. </w:t>
      </w:r>
      <w:r>
        <w:rPr>
          <w:rFonts w:eastAsia="Calibri" w:cs="Garamond" w:ascii="Garamond" w:hAnsi="Garamond"/>
          <w:sz w:val="22"/>
          <w:szCs w:val="22"/>
        </w:rPr>
        <w:t>С</w:t>
      </w:r>
      <w:r>
        <w:rPr>
          <w:rFonts w:eastAsia="Calibri" w:cs="Garamond" w:ascii="Garamond" w:hAnsi="Garamond"/>
          <w:sz w:val="22"/>
          <w:szCs w:val="22"/>
          <w:lang w:val="en-US"/>
        </w:rPr>
        <w:t xml:space="preserve">. 116–127 [Vetokhov S.V., Lebedev M.A., Malykh S. E. Life at the Foot of the Pyramids: From the History of an Ancient Egyptian Tomb in Eastern Giza. </w:t>
      </w:r>
      <w:r>
        <w:rPr>
          <w:rFonts w:eastAsia="Calibri" w:cs="Garamond" w:ascii="Garamond" w:hAnsi="Garamond"/>
          <w:i/>
          <w:sz w:val="22"/>
          <w:szCs w:val="22"/>
          <w:lang w:val="en-US"/>
        </w:rPr>
        <w:t>Ancient monuments, cultures and progress. A caelo usque ad centrum. A potentia ad actum. Ad honores. Collection dedicated to D. V. Rukavishnikov.</w:t>
      </w:r>
      <w:r>
        <w:rPr>
          <w:rFonts w:eastAsia="Calibri" w:cs="Garamond" w:ascii="Garamond" w:hAnsi="Garamond"/>
          <w:sz w:val="22"/>
          <w:szCs w:val="22"/>
          <w:lang w:val="en-US"/>
        </w:rPr>
        <w:t xml:space="preserve"> Moscow, 2020. Pp. 116–127 (in Russian)].</w:t>
      </w:r>
    </w:p>
    <w:p>
      <w:pPr>
        <w:pStyle w:val="Normal"/>
        <w:ind w:start="720" w:end="-31" w:hanging="720"/>
        <w:jc w:val="both"/>
        <w:rPr>
          <w:rFonts w:ascii="Garamond" w:hAnsi="Garamond" w:cs="Garamond"/>
          <w:sz w:val="22"/>
          <w:szCs w:val="22"/>
        </w:rPr>
      </w:pPr>
      <w:r>
        <w:rPr>
          <w:rFonts w:cs="Garamond" w:ascii="Garamond" w:hAnsi="Garamond"/>
          <w:sz w:val="22"/>
          <w:szCs w:val="22"/>
        </w:rPr>
        <w:t>Лебедев</w:t>
      </w:r>
      <w:r>
        <w:rPr>
          <w:rFonts w:cs="Garamond" w:ascii="Garamond" w:hAnsi="Garamond"/>
          <w:sz w:val="22"/>
          <w:szCs w:val="22"/>
          <w:lang w:val="en-US"/>
        </w:rPr>
        <w:t> </w:t>
      </w:r>
      <w:r>
        <w:rPr>
          <w:rFonts w:cs="Garamond" w:ascii="Garamond" w:hAnsi="Garamond"/>
          <w:sz w:val="22"/>
          <w:szCs w:val="22"/>
        </w:rPr>
        <w:t>М.</w:t>
      </w:r>
      <w:r>
        <w:rPr>
          <w:rFonts w:cs="Garamond" w:ascii="Garamond" w:hAnsi="Garamond"/>
          <w:sz w:val="22"/>
          <w:szCs w:val="22"/>
          <w:lang w:val="en-US"/>
        </w:rPr>
        <w:t> </w:t>
      </w:r>
      <w:r>
        <w:rPr>
          <w:rFonts w:cs="Garamond" w:ascii="Garamond" w:hAnsi="Garamond"/>
          <w:sz w:val="22"/>
          <w:szCs w:val="22"/>
        </w:rPr>
        <w:t>А. «Гроты», «катакомбы» и «пещеры» у египетских пирамид: свидетельства о скальных гробницах Гизы в работах ранних путешественников (</w:t>
      </w:r>
      <w:r>
        <w:rPr>
          <w:rFonts w:cs="Garamond" w:ascii="Garamond" w:hAnsi="Garamond"/>
          <w:sz w:val="22"/>
          <w:szCs w:val="22"/>
          <w:lang w:val="en-US"/>
        </w:rPr>
        <w:t>XII</w:t>
      </w:r>
      <w:r>
        <w:rPr>
          <w:rFonts w:cs="Garamond" w:ascii="Garamond" w:hAnsi="Garamond"/>
          <w:sz w:val="22"/>
          <w:szCs w:val="22"/>
        </w:rPr>
        <w:t>–</w:t>
      </w:r>
      <w:r>
        <w:rPr>
          <w:rFonts w:cs="Garamond" w:ascii="Garamond" w:hAnsi="Garamond"/>
          <w:sz w:val="22"/>
          <w:szCs w:val="22"/>
          <w:lang w:val="en-US"/>
        </w:rPr>
        <w:t>XVIII</w:t>
      </w:r>
      <w:r>
        <w:rPr>
          <w:rFonts w:cs="Garamond" w:ascii="Garamond" w:hAnsi="Garamond"/>
          <w:sz w:val="22"/>
          <w:szCs w:val="22"/>
        </w:rPr>
        <w:t xml:space="preserve"> вв.). </w:t>
      </w:r>
      <w:r>
        <w:rPr>
          <w:rFonts w:cs="Garamond" w:ascii="Garamond" w:hAnsi="Garamond"/>
          <w:i/>
          <w:sz w:val="22"/>
          <w:szCs w:val="22"/>
        </w:rPr>
        <w:t>Вестник Института востоковедения РАН</w:t>
      </w:r>
      <w:r>
        <w:rPr>
          <w:rFonts w:cs="Garamond" w:ascii="Garamond" w:hAnsi="Garamond"/>
          <w:sz w:val="22"/>
          <w:szCs w:val="22"/>
        </w:rPr>
        <w:t>. 2020а. №2. С.</w:t>
      </w:r>
      <w:r>
        <w:rPr>
          <w:rFonts w:cs="Garamond" w:ascii="Garamond" w:hAnsi="Garamond"/>
          <w:sz w:val="22"/>
          <w:szCs w:val="22"/>
          <w:lang w:val="en-US"/>
        </w:rPr>
        <w:t> </w:t>
      </w:r>
      <w:r>
        <w:rPr>
          <w:rFonts w:cs="Garamond" w:ascii="Garamond" w:hAnsi="Garamond"/>
          <w:sz w:val="22"/>
          <w:szCs w:val="22"/>
        </w:rPr>
        <w:t>146–159 [</w:t>
      </w:r>
      <w:r>
        <w:rPr>
          <w:rFonts w:cs="Garamond" w:ascii="Garamond" w:hAnsi="Garamond"/>
          <w:sz w:val="22"/>
          <w:szCs w:val="22"/>
          <w:lang w:val="en-US" w:bidi="en-US"/>
        </w:rPr>
        <w:t>Lebedev M</w:t>
      </w:r>
      <w:r>
        <w:rPr>
          <w:rFonts w:cs="Garamond" w:ascii="Garamond" w:hAnsi="Garamond"/>
          <w:sz w:val="22"/>
          <w:szCs w:val="22"/>
          <w:lang w:bidi="en-US"/>
        </w:rPr>
        <w:t>.</w:t>
      </w:r>
      <w:r>
        <w:rPr>
          <w:rFonts w:cs="Garamond" w:ascii="Garamond" w:hAnsi="Garamond"/>
          <w:sz w:val="22"/>
          <w:szCs w:val="22"/>
          <w:lang w:val="en-US" w:bidi="en-US"/>
        </w:rPr>
        <w:t> A</w:t>
      </w:r>
      <w:r>
        <w:rPr>
          <w:rFonts w:cs="Garamond" w:ascii="Garamond" w:hAnsi="Garamond"/>
          <w:sz w:val="22"/>
          <w:szCs w:val="22"/>
        </w:rPr>
        <w:t xml:space="preserve">. </w:t>
      </w:r>
      <w:r>
        <w:rPr>
          <w:rFonts w:cs="Garamond" w:ascii="Garamond" w:hAnsi="Garamond"/>
          <w:sz w:val="22"/>
          <w:szCs w:val="22"/>
          <w:lang w:bidi="en-US"/>
        </w:rPr>
        <w:t>“</w:t>
      </w:r>
      <w:r>
        <w:rPr>
          <w:rFonts w:cs="Garamond" w:ascii="Garamond" w:hAnsi="Garamond"/>
          <w:sz w:val="22"/>
          <w:szCs w:val="22"/>
          <w:lang w:val="en-US" w:bidi="en-US"/>
        </w:rPr>
        <w:t>Grottos</w:t>
      </w:r>
      <w:r>
        <w:rPr>
          <w:rFonts w:cs="Garamond" w:ascii="Garamond" w:hAnsi="Garamond"/>
          <w:sz w:val="22"/>
          <w:szCs w:val="22"/>
          <w:lang w:bidi="en-US"/>
        </w:rPr>
        <w:t>”, “</w:t>
      </w:r>
      <w:r>
        <w:rPr>
          <w:rFonts w:cs="Garamond" w:ascii="Garamond" w:hAnsi="Garamond"/>
          <w:sz w:val="22"/>
          <w:szCs w:val="22"/>
          <w:lang w:val="en-US" w:bidi="en-US"/>
        </w:rPr>
        <w:t>Catacombs</w:t>
      </w:r>
      <w:r>
        <w:rPr>
          <w:rFonts w:cs="Garamond" w:ascii="Garamond" w:hAnsi="Garamond"/>
          <w:sz w:val="22"/>
          <w:szCs w:val="22"/>
          <w:lang w:bidi="en-US"/>
        </w:rPr>
        <w:t xml:space="preserve">”, </w:t>
      </w:r>
      <w:r>
        <w:rPr>
          <w:rFonts w:cs="Garamond" w:ascii="Garamond" w:hAnsi="Garamond"/>
          <w:sz w:val="22"/>
          <w:szCs w:val="22"/>
          <w:lang w:val="en-US" w:bidi="en-US"/>
        </w:rPr>
        <w:t>and</w:t>
      </w:r>
      <w:r>
        <w:rPr>
          <w:rFonts w:cs="Garamond" w:ascii="Garamond" w:hAnsi="Garamond"/>
          <w:sz w:val="22"/>
          <w:szCs w:val="22"/>
          <w:lang w:bidi="en-US"/>
        </w:rPr>
        <w:t xml:space="preserve"> “</w:t>
      </w:r>
      <w:r>
        <w:rPr>
          <w:rFonts w:cs="Garamond" w:ascii="Garamond" w:hAnsi="Garamond"/>
          <w:sz w:val="22"/>
          <w:szCs w:val="22"/>
          <w:lang w:val="en-US" w:bidi="en-US"/>
        </w:rPr>
        <w:t>Caves</w:t>
      </w:r>
      <w:r>
        <w:rPr>
          <w:rFonts w:cs="Garamond" w:ascii="Garamond" w:hAnsi="Garamond"/>
          <w:sz w:val="22"/>
          <w:szCs w:val="22"/>
          <w:lang w:bidi="en-US"/>
        </w:rPr>
        <w:t xml:space="preserve">”: </w:t>
      </w:r>
      <w:r>
        <w:rPr>
          <w:rFonts w:cs="Garamond" w:ascii="Garamond" w:hAnsi="Garamond"/>
          <w:sz w:val="22"/>
          <w:szCs w:val="22"/>
          <w:lang w:val="en-US" w:bidi="en-US"/>
        </w:rPr>
        <w:t>Data</w:t>
      </w:r>
      <w:r>
        <w:rPr>
          <w:rFonts w:cs="Garamond" w:ascii="Garamond" w:hAnsi="Garamond"/>
          <w:sz w:val="22"/>
          <w:szCs w:val="22"/>
          <w:lang w:bidi="en-US"/>
        </w:rPr>
        <w:t xml:space="preserve"> </w:t>
      </w:r>
      <w:r>
        <w:rPr>
          <w:rFonts w:cs="Garamond" w:ascii="Garamond" w:hAnsi="Garamond"/>
          <w:sz w:val="22"/>
          <w:szCs w:val="22"/>
          <w:lang w:val="en-US" w:bidi="en-US"/>
        </w:rPr>
        <w:t>on</w:t>
      </w:r>
      <w:r>
        <w:rPr>
          <w:rFonts w:cs="Garamond" w:ascii="Garamond" w:hAnsi="Garamond"/>
          <w:sz w:val="22"/>
          <w:szCs w:val="22"/>
          <w:lang w:bidi="en-US"/>
        </w:rPr>
        <w:t xml:space="preserve"> </w:t>
      </w:r>
      <w:r>
        <w:rPr>
          <w:rFonts w:cs="Garamond" w:ascii="Garamond" w:hAnsi="Garamond"/>
          <w:sz w:val="22"/>
          <w:szCs w:val="22"/>
          <w:lang w:val="en-US" w:bidi="en-US"/>
        </w:rPr>
        <w:t>Giza</w:t>
      </w:r>
      <w:r>
        <w:rPr>
          <w:rFonts w:cs="Garamond" w:ascii="Garamond" w:hAnsi="Garamond"/>
          <w:sz w:val="22"/>
          <w:szCs w:val="22"/>
          <w:lang w:bidi="en-US"/>
        </w:rPr>
        <w:t xml:space="preserve"> </w:t>
      </w:r>
      <w:r>
        <w:rPr>
          <w:rFonts w:cs="Garamond" w:ascii="Garamond" w:hAnsi="Garamond"/>
          <w:sz w:val="22"/>
          <w:szCs w:val="22"/>
          <w:lang w:val="en-US" w:bidi="en-US"/>
        </w:rPr>
        <w:t>Rock</w:t>
      </w:r>
      <w:r>
        <w:rPr>
          <w:rFonts w:cs="Garamond" w:ascii="Garamond" w:hAnsi="Garamond"/>
          <w:sz w:val="22"/>
          <w:szCs w:val="22"/>
          <w:lang w:bidi="en-US"/>
        </w:rPr>
        <w:t>-</w:t>
      </w:r>
      <w:r>
        <w:rPr>
          <w:rFonts w:cs="Garamond" w:ascii="Garamond" w:hAnsi="Garamond"/>
          <w:sz w:val="22"/>
          <w:szCs w:val="22"/>
          <w:lang w:val="en-US" w:bidi="en-US"/>
        </w:rPr>
        <w:t>Cut</w:t>
      </w:r>
      <w:r>
        <w:rPr>
          <w:rFonts w:cs="Garamond" w:ascii="Garamond" w:hAnsi="Garamond"/>
          <w:sz w:val="22"/>
          <w:szCs w:val="22"/>
          <w:lang w:bidi="en-US"/>
        </w:rPr>
        <w:t xml:space="preserve"> </w:t>
      </w:r>
      <w:r>
        <w:rPr>
          <w:rFonts w:cs="Garamond" w:ascii="Garamond" w:hAnsi="Garamond"/>
          <w:sz w:val="22"/>
          <w:szCs w:val="22"/>
          <w:lang w:val="en-US" w:bidi="en-US"/>
        </w:rPr>
        <w:t>Tombs</w:t>
      </w:r>
      <w:r>
        <w:rPr>
          <w:rFonts w:cs="Garamond" w:ascii="Garamond" w:hAnsi="Garamond"/>
          <w:sz w:val="22"/>
          <w:szCs w:val="22"/>
          <w:lang w:bidi="en-US"/>
        </w:rPr>
        <w:t xml:space="preserve"> </w:t>
      </w:r>
      <w:r>
        <w:rPr>
          <w:rFonts w:cs="Garamond" w:ascii="Garamond" w:hAnsi="Garamond"/>
          <w:sz w:val="22"/>
          <w:szCs w:val="22"/>
          <w:lang w:val="en-US" w:bidi="en-US"/>
        </w:rPr>
        <w:t>in</w:t>
      </w:r>
      <w:r>
        <w:rPr>
          <w:rFonts w:cs="Garamond" w:ascii="Garamond" w:hAnsi="Garamond"/>
          <w:sz w:val="22"/>
          <w:szCs w:val="22"/>
          <w:lang w:bidi="en-US"/>
        </w:rPr>
        <w:t xml:space="preserve"> </w:t>
      </w:r>
      <w:r>
        <w:rPr>
          <w:rFonts w:cs="Garamond" w:ascii="Garamond" w:hAnsi="Garamond"/>
          <w:sz w:val="22"/>
          <w:szCs w:val="22"/>
          <w:lang w:val="en-US" w:bidi="en-US"/>
        </w:rPr>
        <w:t>Works</w:t>
      </w:r>
      <w:r>
        <w:rPr>
          <w:rFonts w:cs="Garamond" w:ascii="Garamond" w:hAnsi="Garamond"/>
          <w:sz w:val="22"/>
          <w:szCs w:val="22"/>
          <w:lang w:bidi="en-US"/>
        </w:rPr>
        <w:t xml:space="preserve"> </w:t>
      </w:r>
      <w:r>
        <w:rPr>
          <w:rFonts w:cs="Garamond" w:ascii="Garamond" w:hAnsi="Garamond"/>
          <w:sz w:val="22"/>
          <w:szCs w:val="22"/>
          <w:lang w:val="en-US" w:bidi="en-US"/>
        </w:rPr>
        <w:t>of</w:t>
      </w:r>
      <w:r>
        <w:rPr>
          <w:rFonts w:cs="Garamond" w:ascii="Garamond" w:hAnsi="Garamond"/>
          <w:sz w:val="22"/>
          <w:szCs w:val="22"/>
          <w:lang w:bidi="en-US"/>
        </w:rPr>
        <w:t xml:space="preserve"> </w:t>
      </w:r>
      <w:r>
        <w:rPr>
          <w:rFonts w:cs="Garamond" w:ascii="Garamond" w:hAnsi="Garamond"/>
          <w:sz w:val="22"/>
          <w:szCs w:val="22"/>
          <w:lang w:val="en-US" w:bidi="en-US"/>
        </w:rPr>
        <w:t>Early</w:t>
      </w:r>
      <w:r>
        <w:rPr>
          <w:rFonts w:cs="Garamond" w:ascii="Garamond" w:hAnsi="Garamond"/>
          <w:sz w:val="22"/>
          <w:szCs w:val="22"/>
          <w:lang w:bidi="en-US"/>
        </w:rPr>
        <w:t xml:space="preserve"> </w:t>
      </w:r>
      <w:r>
        <w:rPr>
          <w:rFonts w:cs="Garamond" w:ascii="Garamond" w:hAnsi="Garamond"/>
          <w:sz w:val="22"/>
          <w:szCs w:val="22"/>
          <w:lang w:val="en-US" w:bidi="en-US"/>
        </w:rPr>
        <w:t>Travelers</w:t>
      </w:r>
      <w:r>
        <w:rPr>
          <w:rFonts w:cs="Garamond" w:ascii="Garamond" w:hAnsi="Garamond"/>
          <w:sz w:val="22"/>
          <w:szCs w:val="22"/>
          <w:lang w:bidi="en-US"/>
        </w:rPr>
        <w:t xml:space="preserve"> (12</w:t>
      </w:r>
      <w:r>
        <w:rPr>
          <w:rFonts w:cs="Garamond" w:ascii="Garamond" w:hAnsi="Garamond"/>
          <w:sz w:val="22"/>
          <w:szCs w:val="22"/>
          <w:vertAlign w:val="superscript"/>
          <w:lang w:val="en-US" w:bidi="en-US"/>
        </w:rPr>
        <w:t>th</w:t>
      </w:r>
      <w:r>
        <w:rPr>
          <w:rFonts w:cs="Garamond" w:ascii="Garamond" w:hAnsi="Garamond"/>
          <w:sz w:val="22"/>
          <w:szCs w:val="22"/>
          <w:lang w:bidi="en-US"/>
        </w:rPr>
        <w:t>–18</w:t>
      </w:r>
      <w:r>
        <w:rPr>
          <w:rFonts w:cs="Garamond" w:ascii="Garamond" w:hAnsi="Garamond"/>
          <w:sz w:val="22"/>
          <w:szCs w:val="22"/>
          <w:vertAlign w:val="superscript"/>
          <w:lang w:val="en-US" w:bidi="en-US"/>
        </w:rPr>
        <w:t>th</w:t>
      </w:r>
      <w:r>
        <w:rPr>
          <w:rFonts w:cs="Garamond" w:ascii="Garamond" w:hAnsi="Garamond"/>
          <w:sz w:val="22"/>
          <w:szCs w:val="22"/>
          <w:lang w:bidi="en-US"/>
        </w:rPr>
        <w:t xml:space="preserve"> </w:t>
      </w:r>
      <w:r>
        <w:rPr>
          <w:rFonts w:cs="Garamond" w:ascii="Garamond" w:hAnsi="Garamond"/>
          <w:sz w:val="22"/>
          <w:szCs w:val="22"/>
          <w:lang w:val="en-US" w:bidi="en-US"/>
        </w:rPr>
        <w:t>Centuries</w:t>
      </w:r>
      <w:r>
        <w:rPr>
          <w:rFonts w:cs="Garamond" w:ascii="Garamond" w:hAnsi="Garamond"/>
          <w:sz w:val="22"/>
          <w:szCs w:val="22"/>
          <w:lang w:bidi="en-US"/>
        </w:rPr>
        <w:t>)</w:t>
      </w:r>
      <w:r>
        <w:rPr>
          <w:rFonts w:cs="Garamond" w:ascii="Garamond" w:hAnsi="Garamond"/>
          <w:sz w:val="22"/>
          <w:szCs w:val="22"/>
        </w:rPr>
        <w:t xml:space="preserve">.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2020а. 2.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146–159 (</w:t>
      </w:r>
      <w:r>
        <w:rPr>
          <w:rFonts w:cs="Garamond" w:ascii="Garamond" w:hAnsi="Garamond"/>
          <w:sz w:val="22"/>
          <w:szCs w:val="22"/>
          <w:lang w:val="en-US"/>
        </w:rPr>
        <w:t>in Russian</w:t>
      </w:r>
      <w:r>
        <w:rPr>
          <w:rFonts w:cs="Garamond" w:ascii="Garamond" w:hAnsi="Garamond"/>
          <w:sz w:val="22"/>
          <w:szCs w:val="22"/>
        </w:rPr>
        <w:t>)].</w:t>
      </w:r>
    </w:p>
    <w:p>
      <w:pPr>
        <w:pStyle w:val="Normal"/>
        <w:ind w:start="720" w:end="-31" w:hanging="720"/>
        <w:jc w:val="both"/>
        <w:rPr/>
      </w:pPr>
      <w:r>
        <w:rPr>
          <w:rFonts w:cs="Garamond" w:ascii="Garamond" w:hAnsi="Garamond"/>
          <w:sz w:val="22"/>
          <w:szCs w:val="22"/>
        </w:rPr>
        <w:t xml:space="preserve">Лебедев М. А. Дж. Б. Кавилья и начало археологического изучения скальных гробниц восточной окраины Гизы. </w:t>
      </w:r>
      <w:r>
        <w:rPr>
          <w:rFonts w:cs="Garamond" w:ascii="Garamond" w:hAnsi="Garamond"/>
          <w:i/>
          <w:iCs/>
          <w:sz w:val="22"/>
          <w:szCs w:val="22"/>
        </w:rPr>
        <w:t>Вестник Института востоковедения РАН.</w:t>
      </w:r>
      <w:r>
        <w:rPr>
          <w:rFonts w:cs="Garamond" w:ascii="Garamond" w:hAnsi="Garamond"/>
          <w:sz w:val="22"/>
          <w:szCs w:val="22"/>
        </w:rPr>
        <w:t xml:space="preserve"> 2020б. </w:t>
      </w:r>
      <w:r>
        <w:rPr>
          <w:rFonts w:cs="Garamond" w:ascii="Garamond" w:hAnsi="Garamond"/>
          <w:sz w:val="22"/>
          <w:szCs w:val="22"/>
          <w:lang w:val="en-US"/>
        </w:rPr>
        <w:t xml:space="preserve">№ 3. </w:t>
      </w:r>
      <w:r>
        <w:rPr>
          <w:rFonts w:cs="Garamond" w:ascii="Garamond" w:hAnsi="Garamond"/>
          <w:sz w:val="22"/>
          <w:szCs w:val="22"/>
        </w:rPr>
        <w:t>С</w:t>
      </w:r>
      <w:r>
        <w:rPr>
          <w:rFonts w:cs="Garamond" w:ascii="Garamond" w:hAnsi="Garamond"/>
          <w:sz w:val="22"/>
          <w:szCs w:val="22"/>
          <w:lang w:val="en-US"/>
        </w:rPr>
        <w:t>. 63–76 [</w:t>
      </w:r>
      <w:r>
        <w:rPr>
          <w:rFonts w:cs="Garamond" w:ascii="Garamond" w:hAnsi="Garamond"/>
          <w:sz w:val="22"/>
          <w:szCs w:val="22"/>
          <w:lang w:val="en-US" w:bidi="en-US"/>
        </w:rPr>
        <w:t>Lebedev M. A</w:t>
      </w:r>
      <w:r>
        <w:rPr>
          <w:rFonts w:cs="Garamond" w:ascii="Garamond" w:hAnsi="Garamond"/>
          <w:sz w:val="22"/>
          <w:szCs w:val="22"/>
          <w:lang w:val="en-US"/>
        </w:rPr>
        <w:t xml:space="preserve">. </w:t>
      </w:r>
      <w:r>
        <w:rPr>
          <w:rFonts w:cs="Garamond" w:ascii="Garamond" w:hAnsi="Garamond"/>
          <w:sz w:val="22"/>
          <w:szCs w:val="22"/>
          <w:lang w:val="en-US" w:bidi="en-US"/>
        </w:rPr>
        <w:t xml:space="preserve">G. B. Caviglia and the Beginning of the Archaeological Study of Rock-Cut Tombs of the Eastern Escarpment of Giza.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2020б.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63–76 (</w:t>
      </w:r>
      <w:r>
        <w:rPr>
          <w:rFonts w:cs="Garamond" w:ascii="Garamond" w:hAnsi="Garamond"/>
          <w:sz w:val="22"/>
          <w:szCs w:val="22"/>
          <w:lang w:val="en-US"/>
        </w:rPr>
        <w:t>in Russian</w:t>
      </w:r>
      <w:r>
        <w:rPr>
          <w:rFonts w:cs="Garamond" w:ascii="Garamond" w:hAnsi="Garamond"/>
          <w:sz w:val="22"/>
          <w:szCs w:val="22"/>
        </w:rPr>
        <w:t>)].</w:t>
      </w:r>
    </w:p>
    <w:p>
      <w:pPr>
        <w:pStyle w:val="Normal"/>
        <w:ind w:start="720" w:end="-31" w:hanging="720"/>
        <w:jc w:val="both"/>
        <w:rPr/>
      </w:pPr>
      <w:r>
        <w:rPr>
          <w:rFonts w:cs="Garamond" w:ascii="Garamond" w:hAnsi="Garamond"/>
          <w:bCs/>
          <w:sz w:val="22"/>
          <w:szCs w:val="22"/>
        </w:rPr>
        <w:t xml:space="preserve">Лебедев М. А. </w:t>
      </w:r>
      <w:r>
        <w:rPr>
          <w:rFonts w:cs="Garamond" w:ascii="Garamond" w:hAnsi="Garamond"/>
          <w:sz w:val="22"/>
          <w:szCs w:val="22"/>
        </w:rPr>
        <w:t xml:space="preserve">Франко-тосканская экспедиция в Гизе (Египет): новые данные. </w:t>
      </w:r>
      <w:r>
        <w:rPr>
          <w:rFonts w:cs="Garamond" w:ascii="Garamond" w:hAnsi="Garamond"/>
          <w:i/>
          <w:sz w:val="22"/>
          <w:szCs w:val="22"/>
        </w:rPr>
        <w:t>Вестник</w:t>
      </w:r>
      <w:r>
        <w:rPr>
          <w:rFonts w:cs="Garamond" w:ascii="Garamond" w:hAnsi="Garamond"/>
          <w:i/>
          <w:sz w:val="22"/>
          <w:szCs w:val="22"/>
          <w:lang w:val="en-US"/>
        </w:rPr>
        <w:t xml:space="preserve"> </w:t>
      </w:r>
      <w:r>
        <w:rPr>
          <w:rFonts w:cs="Garamond" w:ascii="Garamond" w:hAnsi="Garamond"/>
          <w:i/>
          <w:sz w:val="22"/>
          <w:szCs w:val="22"/>
        </w:rPr>
        <w:t>Института</w:t>
      </w:r>
      <w:r>
        <w:rPr>
          <w:rFonts w:cs="Garamond" w:ascii="Garamond" w:hAnsi="Garamond"/>
          <w:i/>
          <w:sz w:val="22"/>
          <w:szCs w:val="22"/>
          <w:lang w:val="en-US"/>
        </w:rPr>
        <w:t xml:space="preserve"> </w:t>
      </w:r>
      <w:r>
        <w:rPr>
          <w:rFonts w:cs="Garamond" w:ascii="Garamond" w:hAnsi="Garamond"/>
          <w:i/>
          <w:sz w:val="22"/>
          <w:szCs w:val="22"/>
        </w:rPr>
        <w:t>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lang w:val="en-US"/>
        </w:rPr>
        <w:t xml:space="preserve">. 2018. № 3. </w:t>
      </w:r>
      <w:r>
        <w:rPr>
          <w:rFonts w:cs="Garamond" w:ascii="Garamond" w:hAnsi="Garamond"/>
          <w:sz w:val="22"/>
          <w:szCs w:val="22"/>
        </w:rPr>
        <w:t>С</w:t>
      </w:r>
      <w:r>
        <w:rPr>
          <w:rFonts w:cs="Garamond" w:ascii="Garamond" w:hAnsi="Garamond"/>
          <w:sz w:val="22"/>
          <w:szCs w:val="22"/>
          <w:lang w:val="en-US"/>
        </w:rPr>
        <w:t>. 53–64 [</w:t>
      </w:r>
      <w:r>
        <w:rPr>
          <w:rFonts w:cs="Garamond" w:ascii="Garamond" w:hAnsi="Garamond"/>
          <w:iCs/>
          <w:sz w:val="22"/>
          <w:szCs w:val="22"/>
          <w:lang w:val="en-US"/>
        </w:rPr>
        <w:t>Lebedev M. A.</w:t>
      </w:r>
      <w:r>
        <w:rPr>
          <w:rFonts w:cs="Garamond" w:ascii="Garamond" w:hAnsi="Garamond"/>
          <w:i/>
          <w:iCs/>
          <w:sz w:val="22"/>
          <w:szCs w:val="22"/>
          <w:lang w:val="en-US"/>
        </w:rPr>
        <w:t xml:space="preserve"> </w:t>
      </w:r>
      <w:r>
        <w:rPr>
          <w:rFonts w:cs="Garamond" w:ascii="Garamond" w:hAnsi="Garamond"/>
          <w:sz w:val="22"/>
          <w:szCs w:val="22"/>
          <w:lang w:val="en-US" w:bidi="en-US"/>
        </w:rPr>
        <w:t xml:space="preserve">Franco-Tuscan Expedition in Giza: New Evidence.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2018. 3.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53–64 (</w:t>
      </w:r>
      <w:r>
        <w:rPr>
          <w:rFonts w:cs="Garamond" w:ascii="Garamond" w:hAnsi="Garamond"/>
          <w:sz w:val="22"/>
          <w:szCs w:val="22"/>
          <w:lang w:val="en-US"/>
        </w:rPr>
        <w:t>in Russian</w:t>
      </w:r>
      <w:r>
        <w:rPr>
          <w:rFonts w:cs="Garamond" w:ascii="Garamond" w:hAnsi="Garamond"/>
          <w:sz w:val="22"/>
          <w:szCs w:val="22"/>
        </w:rPr>
        <w:t>)].</w:t>
      </w:r>
    </w:p>
    <w:p>
      <w:pPr>
        <w:pStyle w:val="Normal"/>
        <w:ind w:start="720" w:end="-31" w:hanging="720"/>
        <w:jc w:val="both"/>
        <w:rPr>
          <w:rFonts w:ascii="Garamond" w:hAnsi="Garamond" w:cs="Garamond"/>
          <w:sz w:val="22"/>
          <w:szCs w:val="22"/>
        </w:rPr>
      </w:pPr>
      <w:r>
        <w:rPr>
          <w:rFonts w:cs="Garamond" w:ascii="Garamond" w:hAnsi="Garamond"/>
          <w:sz w:val="22"/>
          <w:szCs w:val="22"/>
        </w:rPr>
        <w:t xml:space="preserve">Лебедев М. А., Малых С. Е. Источник загадок: необычная история одной древнеегипетской погребальной шахты в Гизе. </w:t>
      </w:r>
      <w:r>
        <w:rPr>
          <w:rFonts w:cs="Garamond" w:ascii="Garamond" w:hAnsi="Garamond"/>
          <w:i/>
          <w:iCs/>
          <w:sz w:val="22"/>
          <w:szCs w:val="22"/>
        </w:rPr>
        <w:t>Восточный</w:t>
      </w:r>
      <w:r>
        <w:rPr>
          <w:rFonts w:cs="Garamond" w:ascii="Garamond" w:hAnsi="Garamond"/>
          <w:i/>
          <w:iCs/>
          <w:sz w:val="22"/>
          <w:szCs w:val="22"/>
          <w:lang w:val="en-US"/>
        </w:rPr>
        <w:t xml:space="preserve"> </w:t>
      </w:r>
      <w:r>
        <w:rPr>
          <w:rFonts w:cs="Garamond" w:ascii="Garamond" w:hAnsi="Garamond"/>
          <w:i/>
          <w:iCs/>
          <w:sz w:val="22"/>
          <w:szCs w:val="22"/>
        </w:rPr>
        <w:t>курьер</w:t>
      </w:r>
      <w:r>
        <w:rPr>
          <w:rFonts w:cs="Garamond" w:ascii="Garamond" w:hAnsi="Garamond"/>
          <w:sz w:val="22"/>
          <w:szCs w:val="22"/>
          <w:lang w:val="en-US"/>
        </w:rPr>
        <w:t xml:space="preserve">. 2020. № 1–2. </w:t>
      </w:r>
      <w:r>
        <w:rPr>
          <w:rFonts w:cs="Garamond" w:ascii="Garamond" w:hAnsi="Garamond"/>
          <w:sz w:val="22"/>
          <w:szCs w:val="22"/>
        </w:rPr>
        <w:t>С</w:t>
      </w:r>
      <w:r>
        <w:rPr>
          <w:rFonts w:cs="Garamond" w:ascii="Garamond" w:hAnsi="Garamond"/>
          <w:sz w:val="22"/>
          <w:szCs w:val="22"/>
          <w:lang w:val="en-US"/>
        </w:rPr>
        <w:t xml:space="preserve">. 99–108 [Lebedev M. A., Malykh S. E. The Source of Mysteries: The Unusual History of an Ancient Egyptian Burial Shaft in Giza. </w:t>
      </w:r>
      <w:r>
        <w:rPr>
          <w:rFonts w:cs="Garamond" w:ascii="Garamond" w:hAnsi="Garamond"/>
          <w:i/>
          <w:iCs/>
          <w:sz w:val="22"/>
          <w:szCs w:val="22"/>
          <w:lang w:val="en-US"/>
        </w:rPr>
        <w:t>Vostochny</w:t>
      </w:r>
      <w:r>
        <w:rPr>
          <w:rFonts w:cs="Garamond" w:ascii="Garamond" w:hAnsi="Garamond"/>
          <w:i/>
          <w:iCs/>
          <w:sz w:val="22"/>
          <w:szCs w:val="22"/>
        </w:rPr>
        <w:t xml:space="preserve"> </w:t>
      </w:r>
      <w:r>
        <w:rPr>
          <w:rFonts w:cs="Garamond" w:ascii="Garamond" w:hAnsi="Garamond"/>
          <w:i/>
          <w:iCs/>
          <w:sz w:val="22"/>
          <w:szCs w:val="22"/>
          <w:lang w:val="en-US"/>
        </w:rPr>
        <w:t>K</w:t>
      </w:r>
      <w:r>
        <w:rPr>
          <w:rFonts w:cs="Garamond" w:ascii="Garamond" w:hAnsi="Garamond"/>
          <w:i/>
          <w:iCs/>
          <w:sz w:val="22"/>
          <w:szCs w:val="22"/>
        </w:rPr>
        <w:t>urier</w:t>
      </w:r>
      <w:r>
        <w:rPr>
          <w:rFonts w:cs="Garamond" w:ascii="Garamond" w:hAnsi="Garamond"/>
          <w:sz w:val="22"/>
          <w:szCs w:val="22"/>
        </w:rPr>
        <w:t xml:space="preserve">. 2020. 1–2. </w:t>
      </w:r>
      <w:r>
        <w:rPr>
          <w:rFonts w:cs="Garamond" w:ascii="Garamond" w:hAnsi="Garamond"/>
          <w:sz w:val="22"/>
          <w:szCs w:val="22"/>
          <w:lang w:val="en-US"/>
        </w:rPr>
        <w:t>Pp</w:t>
      </w:r>
      <w:r>
        <w:rPr>
          <w:rFonts w:cs="Garamond" w:ascii="Garamond" w:hAnsi="Garamond"/>
          <w:sz w:val="22"/>
          <w:szCs w:val="22"/>
        </w:rPr>
        <w:t>. 99–108 (</w:t>
      </w:r>
      <w:r>
        <w:rPr>
          <w:rFonts w:cs="Garamond" w:ascii="Garamond" w:hAnsi="Garamond"/>
          <w:sz w:val="22"/>
          <w:szCs w:val="22"/>
          <w:lang w:val="en-US"/>
        </w:rPr>
        <w:t>in</w:t>
      </w:r>
      <w:r>
        <w:rPr>
          <w:rFonts w:cs="Garamond" w:ascii="Garamond" w:hAnsi="Garamond"/>
          <w:sz w:val="22"/>
          <w:szCs w:val="22"/>
        </w:rPr>
        <w:t xml:space="preserve"> </w:t>
      </w:r>
      <w:r>
        <w:rPr>
          <w:rFonts w:cs="Garamond" w:ascii="Garamond" w:hAnsi="Garamond"/>
          <w:sz w:val="22"/>
          <w:szCs w:val="22"/>
          <w:lang w:val="en-US"/>
        </w:rPr>
        <w:t>Russian</w:t>
      </w:r>
      <w:r>
        <w:rPr>
          <w:rFonts w:cs="Garamond" w:ascii="Garamond" w:hAnsi="Garamond"/>
          <w:sz w:val="22"/>
          <w:szCs w:val="22"/>
        </w:rPr>
        <w:t>)].</w:t>
      </w:r>
    </w:p>
    <w:p>
      <w:pPr>
        <w:pStyle w:val="Normal"/>
        <w:ind w:start="720" w:end="-31" w:hanging="720"/>
        <w:jc w:val="both"/>
        <w:rPr>
          <w:rFonts w:ascii="Garamond" w:hAnsi="Garamond" w:cs="Garamond"/>
          <w:sz w:val="22"/>
          <w:szCs w:val="22"/>
        </w:rPr>
      </w:pPr>
      <w:r>
        <w:rPr>
          <w:rFonts w:cs="Garamond" w:ascii="Garamond" w:hAnsi="Garamond"/>
          <w:sz w:val="22"/>
          <w:szCs w:val="22"/>
        </w:rPr>
        <w:t>Малых</w:t>
      </w:r>
      <w:r>
        <w:rPr>
          <w:rFonts w:cs="Garamond" w:ascii="Garamond" w:hAnsi="Garamond"/>
          <w:sz w:val="22"/>
          <w:szCs w:val="22"/>
          <w:lang w:val="en-US"/>
        </w:rPr>
        <w:t> </w:t>
      </w:r>
      <w:r>
        <w:rPr>
          <w:rFonts w:cs="Garamond" w:ascii="Garamond" w:hAnsi="Garamond"/>
          <w:sz w:val="22"/>
          <w:szCs w:val="22"/>
        </w:rPr>
        <w:t>С.</w:t>
      </w:r>
      <w:r>
        <w:rPr>
          <w:rFonts w:cs="Garamond" w:ascii="Garamond" w:hAnsi="Garamond"/>
          <w:sz w:val="22"/>
          <w:szCs w:val="22"/>
          <w:lang w:val="en-US"/>
        </w:rPr>
        <w:t> </w:t>
      </w:r>
      <w:r>
        <w:rPr>
          <w:rFonts w:cs="Garamond" w:ascii="Garamond" w:hAnsi="Garamond"/>
          <w:sz w:val="22"/>
          <w:szCs w:val="22"/>
        </w:rPr>
        <w:t xml:space="preserve">Е. Керамика Гизы как индикатор хронологической многослойности археологического памятника Египта. </w:t>
      </w:r>
      <w:r>
        <w:rPr>
          <w:rFonts w:cs="Garamond" w:ascii="Garamond" w:hAnsi="Garamond"/>
          <w:i/>
          <w:sz w:val="22"/>
          <w:szCs w:val="22"/>
        </w:rPr>
        <w:t>Вестник Института 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lang w:val="en-US"/>
        </w:rPr>
        <w:t xml:space="preserve">. 2018. №2. </w:t>
      </w:r>
      <w:r>
        <w:rPr>
          <w:rFonts w:cs="Garamond" w:ascii="Garamond" w:hAnsi="Garamond"/>
          <w:sz w:val="22"/>
          <w:szCs w:val="22"/>
        </w:rPr>
        <w:t>С</w:t>
      </w:r>
      <w:r>
        <w:rPr>
          <w:rFonts w:cs="Garamond" w:ascii="Garamond" w:hAnsi="Garamond"/>
          <w:sz w:val="22"/>
          <w:szCs w:val="22"/>
          <w:lang w:val="en-US"/>
        </w:rPr>
        <w:t xml:space="preserve">. 164–178 [Malykh S. E. Giza Pottery as an Indicator of the Chronological Multilayeredness of the Egyptian Archaeological Site. </w:t>
      </w:r>
      <w:r>
        <w:rPr>
          <w:rFonts w:cs="Garamond" w:ascii="Garamond" w:hAnsi="Garamond"/>
          <w:i/>
          <w:sz w:val="22"/>
          <w:szCs w:val="22"/>
          <w:lang w:val="en-US"/>
        </w:rPr>
        <w:t>Vestnik</w:t>
      </w:r>
      <w:r>
        <w:rPr>
          <w:rFonts w:cs="Garamond" w:ascii="Garamond" w:hAnsi="Garamond"/>
          <w:i/>
          <w:sz w:val="22"/>
          <w:szCs w:val="22"/>
        </w:rPr>
        <w:t xml:space="preserve"> </w:t>
      </w:r>
      <w:r>
        <w:rPr>
          <w:rFonts w:cs="Garamond" w:ascii="Garamond" w:hAnsi="Garamond"/>
          <w:i/>
          <w:sz w:val="22"/>
          <w:szCs w:val="22"/>
          <w:lang w:val="en-US"/>
        </w:rPr>
        <w:t>Instituta</w:t>
      </w:r>
      <w:r>
        <w:rPr>
          <w:rFonts w:cs="Garamond" w:ascii="Garamond" w:hAnsi="Garamond"/>
          <w:i/>
          <w:sz w:val="22"/>
          <w:szCs w:val="22"/>
        </w:rPr>
        <w:t xml:space="preserve"> </w:t>
      </w:r>
      <w:r>
        <w:rPr>
          <w:rFonts w:cs="Garamond" w:ascii="Garamond" w:hAnsi="Garamond"/>
          <w:i/>
          <w:sz w:val="22"/>
          <w:szCs w:val="22"/>
          <w:lang w:val="en-US"/>
        </w:rPr>
        <w:t>vostokovedenija</w:t>
      </w:r>
      <w:r>
        <w:rPr>
          <w:rFonts w:cs="Garamond" w:ascii="Garamond" w:hAnsi="Garamond"/>
          <w:i/>
          <w:sz w:val="22"/>
          <w:szCs w:val="22"/>
        </w:rPr>
        <w:t xml:space="preserve"> </w:t>
      </w:r>
      <w:r>
        <w:rPr>
          <w:rFonts w:cs="Garamond" w:ascii="Garamond" w:hAnsi="Garamond"/>
          <w:i/>
          <w:sz w:val="22"/>
          <w:szCs w:val="22"/>
          <w:lang w:val="en-US"/>
        </w:rPr>
        <w:t>RAN</w:t>
      </w:r>
      <w:r>
        <w:rPr>
          <w:rFonts w:cs="Garamond" w:ascii="Garamond" w:hAnsi="Garamond"/>
          <w:sz w:val="22"/>
          <w:szCs w:val="22"/>
        </w:rPr>
        <w:t xml:space="preserve">. 2018. 2. </w:t>
      </w:r>
      <w:r>
        <w:rPr>
          <w:rFonts w:cs="Garamond" w:ascii="Garamond" w:hAnsi="Garamond"/>
          <w:sz w:val="22"/>
          <w:szCs w:val="22"/>
          <w:lang w:val="en-US"/>
        </w:rPr>
        <w:t>Pp</w:t>
      </w:r>
      <w:r>
        <w:rPr>
          <w:rFonts w:cs="Garamond" w:ascii="Garamond" w:hAnsi="Garamond"/>
          <w:sz w:val="22"/>
          <w:szCs w:val="22"/>
        </w:rPr>
        <w:t>.</w:t>
      </w:r>
      <w:r>
        <w:rPr>
          <w:rFonts w:cs="Garamond" w:ascii="Garamond" w:hAnsi="Garamond"/>
          <w:sz w:val="22"/>
          <w:szCs w:val="22"/>
          <w:lang w:val="en-US"/>
        </w:rPr>
        <w:t> </w:t>
      </w:r>
      <w:r>
        <w:rPr>
          <w:rFonts w:cs="Garamond" w:ascii="Garamond" w:hAnsi="Garamond"/>
          <w:sz w:val="22"/>
          <w:szCs w:val="22"/>
        </w:rPr>
        <w:t>164–178 (</w:t>
      </w:r>
      <w:r>
        <w:rPr>
          <w:rFonts w:cs="Garamond" w:ascii="Garamond" w:hAnsi="Garamond"/>
          <w:sz w:val="22"/>
          <w:szCs w:val="22"/>
          <w:lang w:val="en-US"/>
        </w:rPr>
        <w:t>in Russian</w:t>
      </w:r>
      <w:r>
        <w:rPr>
          <w:rFonts w:cs="Garamond" w:ascii="Garamond" w:hAnsi="Garamond"/>
          <w:sz w:val="22"/>
          <w:szCs w:val="22"/>
        </w:rPr>
        <w:t>)].</w:t>
      </w:r>
    </w:p>
    <w:p>
      <w:pPr>
        <w:pStyle w:val="Normal"/>
        <w:ind w:start="720" w:end="-31" w:hanging="720"/>
        <w:jc w:val="both"/>
        <w:rPr/>
      </w:pPr>
      <w:r>
        <w:rPr>
          <w:rStyle w:val="Xformhint"/>
          <w:rFonts w:cs="Garamond" w:ascii="Garamond" w:hAnsi="Garamond"/>
          <w:iCs/>
          <w:sz w:val="22"/>
          <w:szCs w:val="22"/>
        </w:rPr>
        <w:t>Малых</w:t>
      </w:r>
      <w:r>
        <w:rPr>
          <w:rStyle w:val="Xformhint"/>
          <w:rFonts w:cs="Garamond" w:ascii="Garamond" w:hAnsi="Garamond"/>
          <w:iCs/>
          <w:sz w:val="22"/>
          <w:szCs w:val="22"/>
          <w:lang w:val="en-US"/>
        </w:rPr>
        <w:t> </w:t>
      </w:r>
      <w:r>
        <w:rPr>
          <w:rStyle w:val="Xformhint"/>
          <w:rFonts w:cs="Garamond" w:ascii="Garamond" w:hAnsi="Garamond"/>
          <w:iCs/>
          <w:sz w:val="22"/>
          <w:szCs w:val="22"/>
        </w:rPr>
        <w:t>С.</w:t>
      </w:r>
      <w:r>
        <w:rPr>
          <w:rStyle w:val="Xformhint"/>
          <w:rFonts w:cs="Garamond" w:ascii="Garamond" w:hAnsi="Garamond"/>
          <w:iCs/>
          <w:sz w:val="22"/>
          <w:szCs w:val="22"/>
          <w:lang w:val="en-US"/>
        </w:rPr>
        <w:t> </w:t>
      </w:r>
      <w:r>
        <w:rPr>
          <w:rStyle w:val="Xformhint"/>
          <w:rFonts w:cs="Garamond" w:ascii="Garamond" w:hAnsi="Garamond"/>
          <w:iCs/>
          <w:sz w:val="22"/>
          <w:szCs w:val="22"/>
        </w:rPr>
        <w:t xml:space="preserve">Е. Керамические трубки-оттоманки из Гизы: к истории табакокурения на Востоке. </w:t>
      </w:r>
      <w:r>
        <w:rPr>
          <w:rFonts w:cs="Garamond" w:ascii="Garamond" w:hAnsi="Garamond"/>
          <w:i/>
          <w:sz w:val="22"/>
          <w:szCs w:val="22"/>
        </w:rPr>
        <w:t>Вестник</w:t>
      </w:r>
      <w:r>
        <w:rPr>
          <w:rFonts w:cs="Garamond" w:ascii="Garamond" w:hAnsi="Garamond"/>
          <w:i/>
          <w:sz w:val="22"/>
          <w:szCs w:val="22"/>
          <w:lang w:val="en-US"/>
        </w:rPr>
        <w:t xml:space="preserve"> </w:t>
      </w:r>
      <w:r>
        <w:rPr>
          <w:rFonts w:cs="Garamond" w:ascii="Garamond" w:hAnsi="Garamond"/>
          <w:i/>
          <w:sz w:val="22"/>
          <w:szCs w:val="22"/>
        </w:rPr>
        <w:t>Института</w:t>
      </w:r>
      <w:r>
        <w:rPr>
          <w:rFonts w:cs="Garamond" w:ascii="Garamond" w:hAnsi="Garamond"/>
          <w:i/>
          <w:sz w:val="22"/>
          <w:szCs w:val="22"/>
          <w:lang w:val="en-US"/>
        </w:rPr>
        <w:t xml:space="preserve"> </w:t>
      </w:r>
      <w:r>
        <w:rPr>
          <w:rFonts w:cs="Garamond" w:ascii="Garamond" w:hAnsi="Garamond"/>
          <w:i/>
          <w:sz w:val="22"/>
          <w:szCs w:val="22"/>
        </w:rPr>
        <w:t>востоковедения</w:t>
      </w:r>
      <w:r>
        <w:rPr>
          <w:rFonts w:cs="Garamond" w:ascii="Garamond" w:hAnsi="Garamond"/>
          <w:i/>
          <w:sz w:val="22"/>
          <w:szCs w:val="22"/>
          <w:lang w:val="en-US"/>
        </w:rPr>
        <w:t xml:space="preserve"> </w:t>
      </w:r>
      <w:r>
        <w:rPr>
          <w:rFonts w:cs="Garamond" w:ascii="Garamond" w:hAnsi="Garamond"/>
          <w:i/>
          <w:sz w:val="22"/>
          <w:szCs w:val="22"/>
        </w:rPr>
        <w:t>РАН</w:t>
      </w:r>
      <w:r>
        <w:rPr>
          <w:rFonts w:cs="Garamond" w:ascii="Garamond" w:hAnsi="Garamond"/>
          <w:sz w:val="22"/>
          <w:szCs w:val="22"/>
          <w:lang w:val="en-US"/>
        </w:rPr>
        <w:t xml:space="preserve">, 2020, №3. </w:t>
      </w:r>
      <w:r>
        <w:rPr>
          <w:rFonts w:cs="Garamond" w:ascii="Garamond" w:hAnsi="Garamond"/>
          <w:sz w:val="22"/>
          <w:szCs w:val="22"/>
        </w:rPr>
        <w:t>С</w:t>
      </w:r>
      <w:r>
        <w:rPr>
          <w:rFonts w:cs="Garamond" w:ascii="Garamond" w:hAnsi="Garamond"/>
          <w:sz w:val="22"/>
          <w:szCs w:val="22"/>
          <w:lang w:val="en-US"/>
        </w:rPr>
        <w:t>. 77–89 [</w:t>
      </w:r>
      <w:r>
        <w:rPr>
          <w:rStyle w:val="Xformhint"/>
          <w:rFonts w:cs="Garamond" w:ascii="Garamond" w:hAnsi="Garamond"/>
          <w:iCs/>
          <w:sz w:val="22"/>
          <w:szCs w:val="22"/>
          <w:lang w:val="en-US"/>
        </w:rPr>
        <w:t xml:space="preserve">Malykh S. E. </w:t>
      </w:r>
      <w:r>
        <w:rPr>
          <w:rFonts w:cs="Garamond" w:ascii="Garamond" w:hAnsi="Garamond"/>
          <w:sz w:val="22"/>
          <w:szCs w:val="22"/>
          <w:lang w:val="en-US"/>
        </w:rPr>
        <w:t>Ceramic Pipes-Ottomans from Giza: On the History of Tobacco Smoking in the Orient.</w:t>
      </w:r>
      <w:r>
        <w:rPr>
          <w:rFonts w:cs="Garamond" w:ascii="Garamond" w:hAnsi="Garamond"/>
          <w:i/>
          <w:sz w:val="22"/>
          <w:szCs w:val="22"/>
          <w:lang w:val="en-US"/>
        </w:rPr>
        <w:t xml:space="preserve"> Vestnik Instituta vostokovedenija RAN</w:t>
      </w:r>
      <w:r>
        <w:rPr>
          <w:rFonts w:cs="Garamond" w:ascii="Garamond" w:hAnsi="Garamond"/>
          <w:sz w:val="22"/>
          <w:szCs w:val="22"/>
          <w:lang w:val="en-US"/>
        </w:rPr>
        <w:t>. 2020. 3. Pp. </w:t>
      </w:r>
      <w:r>
        <w:rPr>
          <w:rFonts w:cs="Garamond" w:ascii="Garamond" w:hAnsi="Garamond"/>
          <w:sz w:val="22"/>
          <w:szCs w:val="22"/>
        </w:rPr>
        <w:t>77–89</w:t>
      </w:r>
      <w:r>
        <w:rPr>
          <w:rFonts w:cs="Garamond" w:ascii="Garamond" w:hAnsi="Garamond"/>
          <w:sz w:val="22"/>
          <w:szCs w:val="22"/>
          <w:lang w:val="en-US"/>
        </w:rPr>
        <w:t xml:space="preserve"> (in Russian)].</w:t>
      </w:r>
    </w:p>
    <w:p>
      <w:pPr>
        <w:pStyle w:val="Normal"/>
        <w:ind w:start="720" w:end="-31" w:hanging="720"/>
        <w:jc w:val="both"/>
        <w:rPr/>
      </w:pPr>
      <w:r>
        <w:rPr>
          <w:rFonts w:cs="Garamond" w:ascii="Garamond" w:hAnsi="Garamond"/>
          <w:sz w:val="22"/>
          <w:szCs w:val="22"/>
          <w:lang w:val="en-US"/>
        </w:rPr>
        <w:t xml:space="preserve">Balog P. </w:t>
      </w:r>
      <w:r>
        <w:rPr>
          <w:rFonts w:cs="Garamond" w:ascii="Garamond" w:hAnsi="Garamond"/>
          <w:i/>
          <w:sz w:val="22"/>
          <w:szCs w:val="22"/>
          <w:lang w:val="en-US"/>
        </w:rPr>
        <w:t>The coinage of the Mamlūk Sultans of Egypt and Syria</w:t>
      </w:r>
      <w:r>
        <w:rPr>
          <w:rFonts w:cs="Garamond" w:ascii="Garamond" w:hAnsi="Garamond"/>
          <w:sz w:val="22"/>
          <w:szCs w:val="22"/>
          <w:lang w:val="en-US"/>
        </w:rPr>
        <w:t>. New York, 1964.</w:t>
      </w:r>
    </w:p>
    <w:p>
      <w:pPr>
        <w:pStyle w:val="Normal"/>
        <w:ind w:start="720" w:end="-31" w:hanging="720"/>
        <w:jc w:val="both"/>
        <w:rPr/>
      </w:pPr>
      <w:r>
        <w:rPr>
          <w:rFonts w:cs="Garamond" w:ascii="Garamond" w:hAnsi="Garamond"/>
          <w:sz w:val="22"/>
          <w:szCs w:val="22"/>
          <w:lang w:val="en-US"/>
        </w:rPr>
        <w:t xml:space="preserve">Koifman A. </w:t>
      </w:r>
      <w:r>
        <w:rPr>
          <w:rFonts w:cs="Garamond" w:ascii="Garamond" w:hAnsi="Garamond"/>
          <w:i/>
          <w:sz w:val="22"/>
          <w:szCs w:val="22"/>
          <w:lang w:val="en-US"/>
        </w:rPr>
        <w:t>Fulus of the Mamluk Sultans of Egypt and Syria</w:t>
      </w:r>
      <w:r>
        <w:rPr>
          <w:rFonts w:cs="Garamond" w:ascii="Garamond" w:hAnsi="Garamond"/>
          <w:sz w:val="22"/>
          <w:szCs w:val="22"/>
          <w:lang w:val="en-US"/>
        </w:rPr>
        <w:t>. Maaltot, 2012.</w:t>
      </w:r>
    </w:p>
    <w:p>
      <w:pPr>
        <w:pStyle w:val="Normal"/>
        <w:ind w:start="720" w:end="-31" w:hanging="720"/>
        <w:jc w:val="both"/>
        <w:rPr/>
      </w:pPr>
      <w:r>
        <w:rPr>
          <w:rFonts w:cs="Garamond" w:ascii="Garamond" w:hAnsi="Garamond"/>
          <w:sz w:val="22"/>
          <w:szCs w:val="22"/>
          <w:lang w:val="en-US"/>
        </w:rPr>
        <w:t xml:space="preserve">Pere N. </w:t>
      </w:r>
      <w:r>
        <w:rPr>
          <w:rFonts w:cs="Garamond" w:ascii="Garamond" w:hAnsi="Garamond"/>
          <w:i/>
          <w:sz w:val="22"/>
          <w:szCs w:val="22"/>
          <w:lang w:val="en-US"/>
        </w:rPr>
        <w:t>Osmanlılarda Madenî Paralar</w:t>
      </w:r>
      <w:r>
        <w:rPr>
          <w:rFonts w:cs="Garamond" w:ascii="Garamond" w:hAnsi="Garamond"/>
          <w:sz w:val="22"/>
          <w:szCs w:val="22"/>
          <w:lang w:val="en-US"/>
        </w:rPr>
        <w:t>. Yapı ve Kredi Bankasının Osmanlı Madenî Paraları Koleksiyonu. İstanbul, 1968 (in Turkish).</w:t>
      </w:r>
    </w:p>
    <w:p>
      <w:pPr>
        <w:pStyle w:val="Normal"/>
        <w:ind w:start="720" w:end="-31" w:hanging="720"/>
        <w:jc w:val="both"/>
        <w:rPr>
          <w:rFonts w:ascii="Garamond" w:hAnsi="Garamond" w:cs="Garamond"/>
          <w:sz w:val="22"/>
          <w:szCs w:val="22"/>
          <w:lang w:val="en-US"/>
        </w:rPr>
      </w:pPr>
      <w:r>
        <w:rPr>
          <w:rFonts w:cs="Garamond" w:ascii="Garamond" w:hAnsi="Garamond"/>
          <w:i/>
          <w:sz w:val="22"/>
          <w:szCs w:val="22"/>
          <w:lang w:val="en-US"/>
        </w:rPr>
        <w:t>Standard Catalog of World Coins, 1801</w:t>
      </w:r>
      <w:r>
        <w:rPr>
          <w:rFonts w:cs="Garamond" w:ascii="Garamond" w:hAnsi="Garamond"/>
          <w:i/>
          <w:sz w:val="22"/>
          <w:szCs w:val="22"/>
        </w:rPr>
        <w:t>–</w:t>
      </w:r>
      <w:r>
        <w:rPr>
          <w:rFonts w:cs="Garamond" w:ascii="Garamond" w:hAnsi="Garamond"/>
          <w:i/>
          <w:sz w:val="22"/>
          <w:szCs w:val="22"/>
          <w:lang w:val="en-US"/>
        </w:rPr>
        <w:t>1900</w:t>
      </w:r>
      <w:r>
        <w:rPr>
          <w:rFonts w:cs="Garamond" w:ascii="Garamond" w:hAnsi="Garamond"/>
          <w:sz w:val="22"/>
          <w:szCs w:val="22"/>
          <w:lang w:val="en-US"/>
        </w:rPr>
        <w:t xml:space="preserve">. </w:t>
      </w:r>
      <w:r>
        <w:rPr>
          <w:rStyle w:val="Strong"/>
          <w:rFonts w:cs="Garamond" w:ascii="Garamond" w:hAnsi="Garamond"/>
          <w:bCs/>
          <w:sz w:val="22"/>
          <w:szCs w:val="22"/>
          <w:lang w:val="en-US"/>
        </w:rPr>
        <w:t xml:space="preserve">Krause C. L., Mishler C. (eds.). </w:t>
      </w:r>
      <w:r>
        <w:rPr>
          <w:rFonts w:cs="Garamond" w:ascii="Garamond" w:hAnsi="Garamond"/>
          <w:sz w:val="22"/>
          <w:szCs w:val="22"/>
          <w:lang w:val="en-US"/>
        </w:rPr>
        <w:t>Krause Publications. 8</w:t>
      </w:r>
      <w:r>
        <w:rPr>
          <w:rFonts w:cs="Garamond" w:ascii="Garamond" w:hAnsi="Garamond"/>
          <w:sz w:val="22"/>
          <w:szCs w:val="22"/>
          <w:vertAlign w:val="superscript"/>
          <w:lang w:val="en-US"/>
        </w:rPr>
        <w:t>th</w:t>
      </w:r>
      <w:r>
        <w:rPr>
          <w:rFonts w:cs="Garamond" w:ascii="Garamond" w:hAnsi="Garamond"/>
          <w:sz w:val="22"/>
          <w:szCs w:val="22"/>
        </w:rPr>
        <w:t> </w:t>
      </w:r>
      <w:r>
        <w:rPr>
          <w:rFonts w:cs="Garamond" w:ascii="Garamond" w:hAnsi="Garamond"/>
          <w:sz w:val="22"/>
          <w:szCs w:val="22"/>
          <w:lang w:val="en-US"/>
        </w:rPr>
        <w:t>ed. Iola, 2015.</w:t>
      </w:r>
    </w:p>
    <w:p>
      <w:pPr>
        <w:pStyle w:val="Normal"/>
        <w:ind w:start="720" w:end="-31" w:hanging="720"/>
        <w:jc w:val="both"/>
        <w:rPr/>
      </w:pPr>
      <w:r>
        <w:rPr>
          <w:rFonts w:cs="Garamond" w:ascii="Garamond" w:hAnsi="Garamond"/>
          <w:i/>
          <w:iCs/>
          <w:sz w:val="22"/>
          <w:szCs w:val="22"/>
          <w:lang w:val="en-US"/>
        </w:rPr>
        <w:t xml:space="preserve">Standard Catalog of World Coins, 1901–2000. </w:t>
      </w:r>
      <w:r>
        <w:rPr>
          <w:rFonts w:cs="Garamond" w:ascii="Garamond" w:hAnsi="Garamond"/>
          <w:sz w:val="22"/>
          <w:szCs w:val="22"/>
          <w:lang w:val="en-US"/>
        </w:rPr>
        <w:t xml:space="preserve">Thomas M., Schmidt T. L. (eds.). Krause Publications. </w:t>
      </w:r>
      <w:r>
        <w:rPr>
          <w:rFonts w:cs="Garamond" w:ascii="Garamond" w:hAnsi="Garamond"/>
          <w:iCs/>
          <w:sz w:val="22"/>
          <w:szCs w:val="22"/>
          <w:lang w:val="en-US"/>
        </w:rPr>
        <w:t>47</w:t>
      </w:r>
      <w:r>
        <w:rPr>
          <w:rFonts w:cs="Garamond" w:ascii="Garamond" w:hAnsi="Garamond"/>
          <w:iCs/>
          <w:sz w:val="22"/>
          <w:szCs w:val="22"/>
          <w:vertAlign w:val="superscript"/>
          <w:lang w:val="en-US"/>
        </w:rPr>
        <w:t>th</w:t>
      </w:r>
      <w:r>
        <w:rPr>
          <w:rFonts w:cs="Garamond" w:ascii="Garamond" w:hAnsi="Garamond"/>
          <w:iCs/>
          <w:sz w:val="22"/>
          <w:szCs w:val="22"/>
        </w:rPr>
        <w:t> </w:t>
      </w:r>
      <w:r>
        <w:rPr>
          <w:rFonts w:cs="Garamond" w:ascii="Garamond" w:hAnsi="Garamond"/>
          <w:iCs/>
          <w:sz w:val="22"/>
          <w:szCs w:val="22"/>
          <w:lang w:val="en-US"/>
        </w:rPr>
        <w:t>ed.</w:t>
      </w:r>
      <w:r>
        <w:rPr>
          <w:rFonts w:cs="Garamond" w:ascii="Garamond" w:hAnsi="Garamond"/>
          <w:sz w:val="22"/>
          <w:szCs w:val="22"/>
          <w:lang w:val="en-US"/>
        </w:rPr>
        <w:t xml:space="preserve"> Iola, 2019.</w:t>
      </w:r>
    </w:p>
    <w:sectPr>
      <w:headerReference w:type="default" r:id="rId4"/>
      <w:footerReference w:type="default" r:id="rId5"/>
      <w:footnotePr>
        <w:numFmt w:val="decimal"/>
        <w:numRestart w:val="eachSect"/>
      </w:footnotePr>
      <w:type w:val="nextPage"/>
      <w:pgSz w:w="11057" w:h="14740"/>
      <w:pgMar w:left="1134" w:right="1134" w:header="709" w:top="1134"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Times">
    <w:altName w:val="Times New Roman"/>
    <w:charset w:val="00" w:characterSet="windows-1252"/>
    <w:family w:val="roman"/>
    <w:pitch w:val="variable"/>
  </w:font>
  <w:font w:name="Garamond">
    <w:charset w:val="cc" w:characterSet="windows-1251"/>
    <w:family w:val="roman"/>
    <w:pitch w:val="variable"/>
  </w:font>
  <w:font w:name="Liberation Sans">
    <w:altName w:val="Arial"/>
    <w:charset w:val="01" w:characterSet="utf-8"/>
    <w:family w:val="swiss"/>
    <w:pitch w:val="variable"/>
  </w:font>
  <w:font w:name="WL ArabicNaskh">
    <w:charset w:val="02"/>
    <w:family w:val="auto"/>
    <w:pitch w:val="variable"/>
  </w:font>
  <w:font w:name="Gandhari Unicode">
    <w:charset w:val="cc" w:characterSet="windows-125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5">
              <wp:simplePos x="0" y="0"/>
              <wp:positionH relativeFrom="margin">
                <wp:align>center</wp:align>
              </wp:positionH>
              <wp:positionV relativeFrom="paragraph">
                <wp:posOffset>635</wp:posOffset>
              </wp:positionV>
              <wp:extent cx="178435" cy="162560"/>
              <wp:effectExtent l="0" t="0" r="0" b="0"/>
              <wp:wrapSquare wrapText="largest"/>
              <wp:docPr id="1" name="Врезка2"/>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58</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8"/>
                      <w:rPr>
                        <w:rStyle w:val="Style17"/>
                        <w:rFonts w:ascii="Garamond" w:hAnsi="Garamond" w:cs="Garamond"/>
                        <w:sz w:val="22"/>
                        <w:szCs w:val="22"/>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58</w:t>
                    </w:r>
                    <w:r>
                      <w:rPr>
                        <w:rStyle w:val="Style17"/>
                        <w:sz w:val="22"/>
                        <w:szCs w:val="22"/>
                        <w:rFonts w:cs="Garamond" w:ascii="Garamond" w:hAnsi="Garamond"/>
                      </w:rPr>
                      <w:fldChar w:fldCharType="end"/>
                    </w:r>
                  </w:p>
                </w:txbxContent>
              </v:textbox>
              <w10:wrap type="square" side="largest"/>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8"/>
      <w:rPr>
        <w:rFonts w:ascii="Garamond" w:hAnsi="Garamond" w:cs="Garamond"/>
        <w:sz w:val="22"/>
        <w:szCs w:val="22"/>
      </w:rPr>
    </w:pPr>
    <w:r>
      <w:rPr>
        <w:rFonts w:cs="Garamond" w:ascii="Garamond" w:hAnsi="Garamond"/>
        <w:sz w:val="22"/>
        <w:szCs w:val="22"/>
      </w:rPr>
    </w:r>
    <w:r>
      <mc:AlternateContent>
        <mc:Choice Requires="wps">
          <w:drawing>
            <wp:anchor behindDoc="0" distT="0" distB="0" distL="0" distR="0" simplePos="0" locked="0" layoutInCell="1" allowOverlap="1" relativeHeight="12">
              <wp:simplePos x="0" y="0"/>
              <wp:positionH relativeFrom="margin">
                <wp:align>center</wp:align>
              </wp:positionH>
              <wp:positionV relativeFrom="paragraph">
                <wp:posOffset>635</wp:posOffset>
              </wp:positionV>
              <wp:extent cx="178435" cy="162560"/>
              <wp:effectExtent l="0" t="0" r="0" b="0"/>
              <wp:wrapSquare wrapText="largest"/>
              <wp:docPr id="5" name="Врезка3"/>
              <a:graphic xmlns:a="http://schemas.openxmlformats.org/drawingml/2006/main">
                <a:graphicData uri="http://schemas.microsoft.com/office/word/2010/wordprocessingShape">
                  <wps:wsp>
                    <wps:cNvSpPr txBox="1"/>
                    <wps:spPr>
                      <a:xfrm>
                        <a:off x="0" y="0"/>
                        <a:ext cx="178435" cy="162560"/>
                      </a:xfrm>
                      <a:prstGeom prst="rect"/>
                      <a:solidFill>
                        <a:srgbClr val="FFFFFF">
                          <a:alpha val="0"/>
                        </a:srgbClr>
                      </a:solidFill>
                    </wps:spPr>
                    <wps:txb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65</w:t>
                          </w:r>
                          <w:r>
                            <w:rPr>
                              <w:rStyle w:val="Style17"/>
                              <w:sz w:val="22"/>
                              <w:szCs w:val="22"/>
                              <w:rFonts w:cs="Garamond" w:ascii="Garamond" w:hAnsi="Garamond"/>
                            </w:rPr>
                            <w:fldChar w:fldCharType="end"/>
                          </w:r>
                        </w:p>
                      </w:txbxContent>
                    </wps:txbx>
                    <wps:bodyPr anchor="t" lIns="0" tIns="0" rIns="0" bIns="0">
                      <a:noAutofit/>
                    </wps:bodyPr>
                  </wps:wsp>
                </a:graphicData>
              </a:graphic>
            </wp:anchor>
          </w:drawing>
        </mc:Choice>
        <mc:Fallback>
          <w:pict>
            <v:rect fillcolor="#FFFFFF" style="position:absolute;rotation:0;width:14.05pt;height:12.8pt;mso-wrap-distance-left:0pt;mso-wrap-distance-right:0pt;mso-wrap-distance-top:0pt;mso-wrap-distance-bottom:0pt;margin-top:0.05pt;mso-position-vertical-relative:text;margin-left:212.7pt;mso-position-horizontal:center;mso-position-horizontal-relative:margin">
              <v:fill opacity="0f"/>
              <v:textbox>
                <w:txbxContent>
                  <w:p>
                    <w:pPr>
                      <w:pStyle w:val="Style28"/>
                      <w:rPr/>
                    </w:pPr>
                    <w:r>
                      <w:rPr>
                        <w:rStyle w:val="Style17"/>
                        <w:rFonts w:cs="Garamond" w:ascii="Garamond" w:hAnsi="Garamond"/>
                        <w:sz w:val="22"/>
                        <w:szCs w:val="22"/>
                      </w:rPr>
                      <w:fldChar w:fldCharType="begin"/>
                    </w:r>
                    <w:r>
                      <w:rPr>
                        <w:rStyle w:val="Style17"/>
                        <w:sz w:val="22"/>
                        <w:szCs w:val="22"/>
                        <w:rFonts w:cs="Garamond" w:ascii="Garamond" w:hAnsi="Garamond"/>
                      </w:rPr>
                      <w:instrText> PAGE </w:instrText>
                    </w:r>
                    <w:r>
                      <w:rPr>
                        <w:rStyle w:val="Style17"/>
                        <w:sz w:val="22"/>
                        <w:szCs w:val="22"/>
                        <w:rFonts w:cs="Garamond" w:ascii="Garamond" w:hAnsi="Garamond"/>
                      </w:rPr>
                      <w:fldChar w:fldCharType="separate"/>
                    </w:r>
                    <w:r>
                      <w:rPr>
                        <w:rStyle w:val="Style17"/>
                        <w:sz w:val="22"/>
                        <w:szCs w:val="22"/>
                        <w:rFonts w:cs="Garamond" w:ascii="Garamond" w:hAnsi="Garamond"/>
                      </w:rPr>
                      <w:t>65</w:t>
                    </w:r>
                    <w:r>
                      <w:rPr>
                        <w:rStyle w:val="Style17"/>
                        <w:sz w:val="22"/>
                        <w:szCs w:val="22"/>
                        <w:rFonts w:cs="Garamond" w:ascii="Garamond" w:hAnsi="Garamond"/>
                      </w:rPr>
                      <w:fldChar w:fldCharType="end"/>
                    </w:r>
                  </w:p>
                </w:txbxContent>
              </v:textbox>
              <w10:wrap type="square" side="largest"/>
            </v:rect>
          </w:pict>
        </mc:Fallback>
      </mc:AlternateConten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ind w:end="-31" w:hanging="0"/>
        <w:jc w:val="both"/>
        <w:rPr>
          <w:rFonts w:ascii="Garamond" w:hAnsi="Garamond" w:cs="Garamond"/>
        </w:rPr>
      </w:pPr>
      <w:r>
        <w:rPr>
          <w:rStyle w:val="Style14"/>
        </w:rPr>
        <w:footnoteRef/>
      </w:r>
      <w:r>
        <w:rPr>
          <w:rFonts w:eastAsia="Garamond" w:cs="Garamond" w:ascii="Garamond" w:hAnsi="Garamond"/>
        </w:rPr>
        <w:tab/>
        <w:t xml:space="preserve"> </w:t>
      </w:r>
      <w:r>
        <w:rPr>
          <w:rFonts w:cs="Garamond" w:ascii="Garamond" w:hAnsi="Garamond"/>
        </w:rPr>
        <w:t xml:space="preserve">Евгений Юрьевич ГОНЧАРОВ, научный сотрудник Института востоковедения РАН, Москва; </w:t>
      </w:r>
      <w:hyperlink r:id="rId1">
        <w:r>
          <w:rPr>
            <w:rStyle w:val="Style15"/>
            <w:rFonts w:cs="Garamond" w:ascii="Garamond" w:hAnsi="Garamond"/>
            <w:color w:val="000000"/>
            <w:u w:val="none"/>
            <w:lang w:val="en-US"/>
          </w:rPr>
          <w:t>lowvolga</w:t>
        </w:r>
        <w:r>
          <w:rPr>
            <w:rStyle w:val="Style15"/>
            <w:rFonts w:cs="Garamond" w:ascii="Garamond" w:hAnsi="Garamond"/>
            <w:color w:val="000000"/>
            <w:u w:val="none"/>
          </w:rPr>
          <w:t>@</w:t>
        </w:r>
        <w:r>
          <w:rPr>
            <w:rStyle w:val="Style15"/>
            <w:rFonts w:cs="Garamond" w:ascii="Garamond" w:hAnsi="Garamond"/>
            <w:color w:val="000000"/>
            <w:u w:val="none"/>
            <w:lang w:val="en-US"/>
          </w:rPr>
          <w:t>gmail</w:t>
        </w:r>
        <w:r>
          <w:rPr>
            <w:rStyle w:val="Style15"/>
            <w:rFonts w:cs="Garamond" w:ascii="Garamond" w:hAnsi="Garamond"/>
            <w:color w:val="000000"/>
            <w:u w:val="none"/>
          </w:rPr>
          <w:t>.</w:t>
        </w:r>
        <w:r>
          <w:rPr>
            <w:rStyle w:val="Style15"/>
            <w:rFonts w:cs="Garamond" w:ascii="Garamond" w:hAnsi="Garamond"/>
            <w:color w:val="000000"/>
            <w:u w:val="none"/>
            <w:lang w:val="en-US"/>
          </w:rPr>
          <w:t>com</w:t>
        </w:r>
      </w:hyperlink>
    </w:p>
    <w:p>
      <w:pPr>
        <w:pStyle w:val="Normal"/>
        <w:ind w:end="-31" w:hanging="0"/>
        <w:jc w:val="both"/>
        <w:rPr>
          <w:rFonts w:ascii="Garamond" w:hAnsi="Garamond" w:cs="Garamond"/>
          <w:lang w:val="en-US"/>
        </w:rPr>
      </w:pPr>
      <w:r>
        <w:rPr>
          <w:rFonts w:eastAsia="Garamond" w:cs="Garamond" w:ascii="Garamond" w:hAnsi="Garamond"/>
        </w:rPr>
        <w:tab/>
        <w:t xml:space="preserve">   </w:t>
      </w:r>
      <w:r>
        <w:rPr>
          <w:rFonts w:cs="Garamond" w:ascii="Garamond" w:hAnsi="Garamond"/>
          <w:lang w:val="en-US"/>
        </w:rPr>
        <w:t xml:space="preserve">Evgeny Yu. GONCHAROV, Research Fellow, Institute of Oriental Studies RAS, Moscow; </w:t>
      </w:r>
      <w:hyperlink r:id="rId2">
        <w:r>
          <w:rPr>
            <w:rStyle w:val="Style15"/>
            <w:rFonts w:cs="Garamond" w:ascii="Garamond" w:hAnsi="Garamond"/>
            <w:color w:val="000000"/>
            <w:u w:val="none"/>
            <w:lang w:val="en-US"/>
          </w:rPr>
          <w:t>lowvolga@gmail.com</w:t>
        </w:r>
      </w:hyperlink>
    </w:p>
    <w:p>
      <w:pPr>
        <w:pStyle w:val="Normal"/>
        <w:autoSpaceDE w:val="false"/>
        <w:ind w:end="-31" w:hanging="0"/>
        <w:jc w:val="both"/>
        <w:rPr/>
      </w:pPr>
      <w:r>
        <w:rPr>
          <w:rFonts w:eastAsia="Garamond" w:cs="Garamond" w:ascii="Garamond" w:hAnsi="Garamond"/>
        </w:rPr>
        <w:tab/>
        <w:t xml:space="preserve">   </w:t>
      </w:r>
      <w:r>
        <w:rPr>
          <w:rFonts w:cs="Garamond" w:ascii="Garamond" w:hAnsi="Garamond"/>
          <w:lang w:val="en-US"/>
        </w:rPr>
        <w:t>ORCID</w:t>
      </w:r>
      <w:r>
        <w:rPr>
          <w:rFonts w:cs="Garamond" w:ascii="Garamond" w:hAnsi="Garamond"/>
        </w:rPr>
        <w:t xml:space="preserve"> </w:t>
      </w:r>
      <w:r>
        <w:rPr>
          <w:rFonts w:cs="Garamond" w:ascii="Garamond" w:hAnsi="Garamond"/>
          <w:lang w:val="en-US"/>
        </w:rPr>
        <w:t>ID</w:t>
      </w:r>
      <w:r>
        <w:rPr>
          <w:rFonts w:cs="Garamond" w:ascii="Garamond" w:hAnsi="Garamond"/>
        </w:rPr>
        <w:t>: 0000-0002-3006-1774</w:t>
      </w:r>
    </w:p>
    <w:p>
      <w:pPr>
        <w:pStyle w:val="Normal"/>
        <w:autoSpaceDE w:val="false"/>
        <w:ind w:end="-31" w:hanging="0"/>
        <w:jc w:val="both"/>
        <w:rPr>
          <w:rFonts w:ascii="Garamond" w:hAnsi="Garamond" w:cs="Garamond"/>
        </w:rPr>
      </w:pPr>
      <w:r>
        <w:rPr>
          <w:rFonts w:eastAsia="Garamond" w:cs="Garamond" w:ascii="Garamond" w:hAnsi="Garamond"/>
        </w:rPr>
        <w:tab/>
        <w:t xml:space="preserve">   </w:t>
      </w:r>
      <w:r>
        <w:rPr>
          <w:rFonts w:cs="Garamond" w:ascii="Garamond" w:hAnsi="Garamond"/>
        </w:rPr>
        <w:t>Светлана Евгеньевна МАЛЫХ, кандидат исторических наук, старший научный сотрудник Института востоковедения РАН, Москва; malyh2002@mail.ru</w:t>
      </w:r>
    </w:p>
    <w:p>
      <w:pPr>
        <w:pStyle w:val="Style29"/>
        <w:ind w:end="-31" w:hanging="0"/>
        <w:jc w:val="both"/>
        <w:rPr/>
      </w:pPr>
      <w:r>
        <w:rPr>
          <w:rFonts w:eastAsia="Garamond" w:cs="Garamond" w:ascii="Garamond" w:hAnsi="Garamond"/>
          <w:sz w:val="20"/>
          <w:szCs w:val="20"/>
        </w:rPr>
        <w:tab/>
        <w:t xml:space="preserve">   </w:t>
      </w:r>
      <w:r>
        <w:rPr>
          <w:rFonts w:cs="Garamond" w:ascii="Garamond" w:hAnsi="Garamond"/>
          <w:sz w:val="20"/>
          <w:szCs w:val="20"/>
          <w:lang w:val="en-US"/>
        </w:rPr>
        <w:t>Svetlana E. MALYKH, PhD (History), Senior Research Fellow, Institute of Oriental Studies RAS, Moscow; malyh2002@mail.ru</w:t>
      </w:r>
    </w:p>
    <w:p>
      <w:pPr>
        <w:pStyle w:val="Normal"/>
        <w:ind w:end="-31" w:hanging="0"/>
        <w:jc w:val="both"/>
        <w:rPr/>
      </w:pPr>
      <w:r>
        <w:rPr>
          <w:rFonts w:eastAsia="Garamond" w:cs="Garamond" w:ascii="Garamond" w:hAnsi="Garamond"/>
          <w:lang w:val="en-US"/>
        </w:rPr>
        <w:tab/>
        <w:t xml:space="preserve">   </w:t>
      </w:r>
      <w:r>
        <w:rPr>
          <w:rFonts w:cs="Garamond" w:ascii="Garamond" w:hAnsi="Garamond"/>
        </w:rPr>
        <w:t xml:space="preserve">ORCID ID: </w:t>
      </w:r>
      <w:r>
        <w:rPr>
          <w:rFonts w:eastAsia="Calibri" w:cs="Garamond" w:ascii="Garamond" w:hAnsi="Garamond"/>
        </w:rPr>
        <w:t>0000-0002-2077-7285</w:t>
      </w:r>
    </w:p>
  </w:footnote>
  <w:footnote w:id="3">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Определение трех последних монет по: [</w:t>
      </w:r>
      <w:r>
        <w:rPr>
          <w:rFonts w:cs="Garamond" w:ascii="Garamond" w:hAnsi="Garamond"/>
          <w:iCs/>
          <w:sz w:val="20"/>
          <w:szCs w:val="20"/>
          <w:lang w:val="en-US"/>
        </w:rPr>
        <w:t>Standard</w:t>
      </w:r>
      <w:r>
        <w:rPr>
          <w:rFonts w:cs="Garamond" w:ascii="Garamond" w:hAnsi="Garamond"/>
          <w:iCs/>
          <w:sz w:val="20"/>
          <w:szCs w:val="20"/>
        </w:rPr>
        <w:t xml:space="preserve"> </w:t>
      </w:r>
      <w:r>
        <w:rPr>
          <w:rFonts w:cs="Garamond" w:ascii="Garamond" w:hAnsi="Garamond"/>
          <w:iCs/>
          <w:sz w:val="20"/>
          <w:szCs w:val="20"/>
          <w:lang w:val="en-US"/>
        </w:rPr>
        <w:t>Catalog</w:t>
      </w:r>
      <w:r>
        <w:rPr>
          <w:rFonts w:cs="Garamond" w:ascii="Garamond" w:hAnsi="Garamond"/>
          <w:iCs/>
          <w:sz w:val="20"/>
          <w:szCs w:val="20"/>
        </w:rPr>
        <w:t xml:space="preserve"> </w:t>
      </w:r>
      <w:r>
        <w:rPr>
          <w:rFonts w:cs="Garamond" w:ascii="Garamond" w:hAnsi="Garamond"/>
          <w:iCs/>
          <w:sz w:val="20"/>
          <w:szCs w:val="20"/>
          <w:lang w:val="en-US"/>
        </w:rPr>
        <w:t>of</w:t>
      </w:r>
      <w:r>
        <w:rPr>
          <w:rFonts w:cs="Garamond" w:ascii="Garamond" w:hAnsi="Garamond"/>
          <w:iCs/>
          <w:sz w:val="20"/>
          <w:szCs w:val="20"/>
        </w:rPr>
        <w:t xml:space="preserve"> </w:t>
      </w:r>
      <w:r>
        <w:rPr>
          <w:rFonts w:cs="Garamond" w:ascii="Garamond" w:hAnsi="Garamond"/>
          <w:iCs/>
          <w:sz w:val="20"/>
          <w:szCs w:val="20"/>
          <w:lang w:val="en-US"/>
        </w:rPr>
        <w:t>World</w:t>
      </w:r>
      <w:r>
        <w:rPr>
          <w:rFonts w:cs="Garamond" w:ascii="Garamond" w:hAnsi="Garamond"/>
          <w:iCs/>
          <w:sz w:val="20"/>
          <w:szCs w:val="20"/>
        </w:rPr>
        <w:t xml:space="preserve"> </w:t>
      </w:r>
      <w:r>
        <w:rPr>
          <w:rFonts w:cs="Garamond" w:ascii="Garamond" w:hAnsi="Garamond"/>
          <w:iCs/>
          <w:sz w:val="20"/>
          <w:szCs w:val="20"/>
          <w:lang w:val="en-US"/>
        </w:rPr>
        <w:t>Coins</w:t>
      </w:r>
      <w:r>
        <w:rPr>
          <w:rFonts w:cs="Garamond" w:ascii="Garamond" w:hAnsi="Garamond"/>
          <w:iCs/>
          <w:sz w:val="20"/>
          <w:szCs w:val="20"/>
        </w:rPr>
        <w:t xml:space="preserve">, </w:t>
      </w:r>
      <w:r>
        <w:rPr>
          <w:rFonts w:cs="Garamond" w:ascii="Garamond" w:hAnsi="Garamond"/>
          <w:sz w:val="20"/>
          <w:szCs w:val="20"/>
        </w:rPr>
        <w:t xml:space="preserve">2019, </w:t>
      </w:r>
      <w:r>
        <w:rPr>
          <w:rFonts w:cs="Garamond" w:ascii="Garamond" w:hAnsi="Garamond"/>
          <w:sz w:val="20"/>
          <w:szCs w:val="20"/>
          <w:lang w:val="en-US"/>
        </w:rPr>
        <w:t>KM</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 xml:space="preserve">333, </w:t>
      </w:r>
      <w:r>
        <w:rPr>
          <w:rFonts w:cs="Garamond" w:ascii="Garamond" w:hAnsi="Garamond"/>
          <w:sz w:val="20"/>
          <w:szCs w:val="20"/>
          <w:lang w:val="en-US"/>
        </w:rPr>
        <w:t>KM</w:t>
      </w:r>
      <w:r>
        <w:rPr>
          <w:rFonts w:cs="Garamond" w:ascii="Garamond" w:hAnsi="Garamond"/>
          <w:sz w:val="20"/>
          <w:szCs w:val="20"/>
        </w:rPr>
        <w:t>#</w:t>
      </w:r>
      <w:r>
        <w:rPr>
          <w:rFonts w:cs="Garamond" w:ascii="Garamond" w:hAnsi="Garamond"/>
          <w:sz w:val="20"/>
          <w:szCs w:val="20"/>
          <w:lang w:val="en-US"/>
        </w:rPr>
        <w:t> A</w:t>
      </w:r>
      <w:r>
        <w:rPr>
          <w:rFonts w:cs="Garamond" w:ascii="Garamond" w:hAnsi="Garamond"/>
          <w:sz w:val="20"/>
          <w:szCs w:val="20"/>
        </w:rPr>
        <w:t xml:space="preserve">432, </w:t>
      </w:r>
      <w:r>
        <w:rPr>
          <w:rFonts w:cs="Garamond" w:ascii="Garamond" w:hAnsi="Garamond"/>
          <w:sz w:val="20"/>
          <w:szCs w:val="20"/>
          <w:lang w:val="en-US"/>
        </w:rPr>
        <w:t>KM</w:t>
      </w:r>
      <w:r>
        <w:rPr>
          <w:rFonts w:cs="Garamond" w:ascii="Garamond" w:hAnsi="Garamond"/>
          <w:sz w:val="20"/>
          <w:szCs w:val="20"/>
        </w:rPr>
        <w:t>#</w:t>
      </w:r>
      <w:r>
        <w:rPr>
          <w:rFonts w:cs="Garamond" w:ascii="Garamond" w:hAnsi="Garamond"/>
          <w:sz w:val="20"/>
          <w:szCs w:val="20"/>
          <w:lang w:val="en-US"/>
        </w:rPr>
        <w:t> </w:t>
      </w:r>
      <w:r>
        <w:rPr>
          <w:rFonts w:cs="Garamond" w:ascii="Garamond" w:hAnsi="Garamond"/>
          <w:sz w:val="20"/>
          <w:szCs w:val="20"/>
        </w:rPr>
        <w:t>917].</w:t>
      </w:r>
    </w:p>
  </w:footnote>
  <w:footnote w:id="4">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Авторы приносят благодарность к.и.н. В. Н. Настичу (ИВ РАН) за помощь в описании этой монеты.</w:t>
      </w:r>
    </w:p>
  </w:footnote>
  <w:footnote w:id="5">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i/>
          <w:sz w:val="20"/>
          <w:szCs w:val="20"/>
        </w:rPr>
        <w:t>Хайрийе</w:t>
      </w:r>
      <w:r>
        <w:rPr>
          <w:rFonts w:cs="Garamond" w:ascii="Garamond" w:hAnsi="Garamond"/>
          <w:sz w:val="20"/>
          <w:szCs w:val="20"/>
        </w:rPr>
        <w:t xml:space="preserve"> — название монет с указанным выше весом. Предшествовавшие им золотые монеты весом 1,15–1,20 г, так же ½ </w:t>
      </w:r>
      <w:r>
        <w:rPr>
          <w:rFonts w:cs="Garamond" w:ascii="Garamond" w:hAnsi="Garamond"/>
          <w:i/>
          <w:sz w:val="20"/>
          <w:szCs w:val="20"/>
        </w:rPr>
        <w:t>зери махбуб</w:t>
      </w:r>
      <w:r>
        <w:rPr>
          <w:rFonts w:cs="Garamond" w:ascii="Garamond" w:hAnsi="Garamond"/>
          <w:sz w:val="20"/>
          <w:szCs w:val="20"/>
        </w:rPr>
        <w:t xml:space="preserve">, назывались </w:t>
      </w:r>
      <w:r>
        <w:rPr>
          <w:rFonts w:cs="Garamond" w:ascii="Garamond" w:hAnsi="Garamond"/>
          <w:i/>
          <w:sz w:val="20"/>
          <w:szCs w:val="20"/>
        </w:rPr>
        <w:t>нисфийя</w:t>
      </w:r>
      <w:r>
        <w:rPr>
          <w:rFonts w:cs="Garamond" w:ascii="Garamond" w:hAnsi="Garamond"/>
          <w:sz w:val="20"/>
          <w:szCs w:val="20"/>
        </w:rPr>
        <w:t>.</w:t>
      </w:r>
    </w:p>
  </w:footnote>
  <w:footnote w:id="6">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Подробнее см.: [Лебедев, 2020а, с. 150].</w:t>
      </w:r>
    </w:p>
  </w:footnote>
  <w:footnote w:id="7">
    <w:p>
      <w:pPr>
        <w:pStyle w:val="Style29"/>
        <w:ind w:end="-31" w:hanging="0"/>
        <w:jc w:val="both"/>
        <w:rPr/>
      </w:pPr>
      <w:r>
        <w:rPr>
          <w:rStyle w:val="Style14"/>
        </w:rPr>
        <w:footnoteRef/>
      </w:r>
      <w:r>
        <w:rPr>
          <w:rFonts w:eastAsia="Garamond" w:cs="Garamond" w:ascii="Garamond" w:hAnsi="Garamond"/>
          <w:sz w:val="20"/>
          <w:szCs w:val="20"/>
        </w:rPr>
        <w:tab/>
        <w:t xml:space="preserve"> </w:t>
      </w:r>
      <w:r>
        <w:rPr>
          <w:rFonts w:cs="Garamond" w:ascii="Garamond" w:hAnsi="Garamond"/>
          <w:sz w:val="20"/>
          <w:szCs w:val="20"/>
        </w:rPr>
        <w:t>Об «отелях», устроенных в скальных гробницах восточной Гизы, а также об их постояльцах, в частности, Говарде Вайсе, Джованни Кавилье, Несторе Л’Оте, Огюсте Мариетте, см.: [Лебедев, 2018, с. 59–63; 2020а, с. 157; 2020б; Лебедев, Малых, 2020; Ветохов, Лебедев, Малых, 2020, с. 123–126].</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8820" w:type="dxa"/>
      <w:jc w:val="start"/>
      <w:tblInd w:w="0" w:type="dxa"/>
      <w:tblBorders>
        <w:bottom w:val="single" w:sz="12" w:space="0" w:color="000000"/>
        <w:insideH w:val="single" w:sz="12" w:space="0" w:color="000000"/>
      </w:tblBorders>
      <w:tblCellMar>
        <w:top w:w="0" w:type="dxa"/>
        <w:start w:w="108" w:type="dxa"/>
        <w:bottom w:w="0" w:type="dxa"/>
        <w:end w:w="108" w:type="dxa"/>
      </w:tblCellMar>
    </w:tblPr>
    <w:tblGrid>
      <w:gridCol w:w="8820"/>
    </w:tblGrid>
    <w:tr>
      <w:trPr/>
      <w:tc>
        <w:tcPr>
          <w:tcW w:w="8820" w:type="dxa"/>
          <w:tcBorders>
            <w:bottom w:val="single" w:sz="12" w:space="0" w:color="000000"/>
            <w:insideH w:val="single" w:sz="12" w:space="0" w:color="000000"/>
          </w:tcBorders>
          <w:shd w:fill="auto" w:val="clear"/>
        </w:tcPr>
        <w:p>
          <w:pPr>
            <w:pStyle w:val="Style30"/>
            <w:jc w:val="center"/>
            <w:rPr>
              <w:rFonts w:ascii="Garamond" w:hAnsi="Garamond" w:cs="Garamond"/>
              <w:color w:val="000000"/>
            </w:rPr>
          </w:pPr>
          <w:r>
            <w:rPr>
              <w:rFonts w:cs="Garamond" w:ascii="Garamond" w:hAnsi="Garamond"/>
            </w:rPr>
            <w:t>Гончаров Е. Ю., Малых</w:t>
          </w:r>
          <w:r>
            <w:rPr>
              <w:rStyle w:val="Xformhint"/>
              <w:rFonts w:cs="Garamond" w:ascii="Garamond" w:hAnsi="Garamond"/>
              <w:iCs/>
            </w:rPr>
            <w:t> </w:t>
          </w:r>
          <w:r>
            <w:rPr>
              <w:rFonts w:cs="Garamond" w:ascii="Garamond" w:hAnsi="Garamond"/>
            </w:rPr>
            <w:t>С. Е. Исламские монеты из Восточной Гизы (Египет)</w:t>
          </w:r>
        </w:p>
        <w:p>
          <w:pPr>
            <w:pStyle w:val="Style30"/>
            <w:jc w:val="center"/>
            <w:rPr>
              <w:rFonts w:ascii="Garamond" w:hAnsi="Garamond" w:cs="Garamond"/>
              <w:color w:val="000000"/>
              <w:sz w:val="8"/>
              <w:szCs w:val="8"/>
            </w:rPr>
          </w:pPr>
          <w:r>
            <w:rPr>
              <w:rFonts w:cs="Garamond" w:ascii="Garamond" w:hAnsi="Garamond"/>
              <w:color w:val="000000"/>
              <w:sz w:val="8"/>
              <w:szCs w:val="8"/>
            </w:rPr>
          </w:r>
        </w:p>
      </w:tc>
    </w:tr>
  </w:tbl>
  <w:p>
    <w:pPr>
      <w:pStyle w:val="Style3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start"/>
      <w:pPr>
        <w:ind w:start="0" w:hanging="0"/>
      </w:pPr>
    </w:lvl>
    <w:lvl w:ilvl="1">
      <w:start w:val="1"/>
      <w:numFmt w:val="none"/>
      <w:suff w:val="nothing"/>
      <w:lvlText w:val=""/>
      <w:lvlJc w:val="start"/>
      <w:pPr>
        <w:ind w:start="0" w:hanging="0"/>
      </w:pPr>
    </w:lvl>
    <w:lvl w:ilvl="2">
      <w:start w:val="1"/>
      <w:numFmt w:val="none"/>
      <w:suff w:val="nothing"/>
      <w:lvlText w:val=""/>
      <w:lvlJc w:val="start"/>
      <w:pPr>
        <w:ind w:start="0" w:hanging="0"/>
      </w:pPr>
    </w:lvl>
    <w:lvl w:ilvl="3">
      <w:start w:val="1"/>
      <w:numFmt w:val="none"/>
      <w:suff w:val="nothing"/>
      <w:lvlText w:val=""/>
      <w:lvlJc w:val="start"/>
      <w:pPr>
        <w:ind w:start="0" w:hanging="0"/>
      </w:pPr>
    </w:lvl>
    <w:lvl w:ilvl="4">
      <w:start w:val="1"/>
      <w:pStyle w:val="5"/>
      <w:numFmt w:val="none"/>
      <w:suff w:val="nothing"/>
      <w:lvlText w:val=""/>
      <w:lvlJc w:val="start"/>
      <w:pPr>
        <w:ind w:start="0" w:hanging="0"/>
      </w:pPr>
    </w:lvl>
    <w:lvl w:ilvl="5">
      <w:start w:val="1"/>
      <w:numFmt w:val="none"/>
      <w:suff w:val="nothing"/>
      <w:lvlText w:val=""/>
      <w:lvlJc w:val="start"/>
      <w:pPr>
        <w:ind w:start="0" w:hanging="0"/>
      </w:pPr>
    </w:lvl>
    <w:lvl w:ilvl="6">
      <w:start w:val="1"/>
      <w:numFmt w:val="none"/>
      <w:suff w:val="nothing"/>
      <w:lvlText w:val=""/>
      <w:lvlJc w:val="start"/>
      <w:pPr>
        <w:ind w:start="0" w:hanging="0"/>
      </w:pPr>
    </w:lvl>
    <w:lvl w:ilvl="7">
      <w:start w:val="1"/>
      <w:numFmt w:val="none"/>
      <w:suff w:val="nothing"/>
      <w:lvlText w:val=""/>
      <w:lvlJc w:val="start"/>
      <w:pPr>
        <w:ind w:start="0" w:hanging="0"/>
      </w:pPr>
    </w:lvl>
    <w:lvl w:ilvl="8">
      <w:start w:val="1"/>
      <w:numFmt w:val="none"/>
      <w:suff w:val="nothing"/>
      <w:lvlText w:val=""/>
      <w:lvlJc w:val="start"/>
      <w:pPr>
        <w:ind w:start="0" w:hanging="0"/>
      </w:pPr>
    </w:lvl>
  </w:abstractNum>
  <w:num w:numId="1">
    <w:abstractNumId w:val="1"/>
  </w:num>
</w:numbering>
</file>

<file path=word/settings.xml><?xml version="1.0" encoding="utf-8"?>
<w:settings xmlns:w="http://schemas.openxmlformats.org/wordprocessingml/2006/main">
  <w:zoom w:percent="150"/>
  <w:defaultTabStop w:val="709"/>
  <w:footnotePr>
    <w:numFmt w:val="decimal"/>
    <w:numRestart w:val="eachSect"/>
    <w:footnote w:id="0"/>
    <w:footnote w:id="1"/>
  </w:footnotePr>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sz w:val="24"/>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0"/>
      <w:szCs w:val="20"/>
      <w:lang w:val="ru-RU" w:bidi="ar-SA" w:eastAsia="zh-CN"/>
    </w:rPr>
  </w:style>
  <w:style w:type="paragraph" w:styleId="5">
    <w:name w:val="Heading 5"/>
    <w:basedOn w:val="Normal"/>
    <w:next w:val="Style24"/>
    <w:qFormat/>
    <w:pPr>
      <w:numPr>
        <w:ilvl w:val="4"/>
        <w:numId w:val="1"/>
      </w:numPr>
      <w:spacing w:before="280" w:after="280"/>
      <w:outlineLvl w:val="4"/>
    </w:pPr>
    <w:rPr>
      <w:rFonts w:ascii="Times" w:hAnsi="Times" w:eastAsia="MS Mincho;MS Gothic" w:cs="Times New Roman"/>
      <w:b/>
      <w:bCs/>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Style13">
    <w:name w:val="Основной шрифт абзаца"/>
    <w:qFormat/>
    <w:rPr/>
  </w:style>
  <w:style w:type="character" w:styleId="FooterChar">
    <w:name w:val="Footer Char"/>
    <w:qFormat/>
    <w:rPr>
      <w:rFonts w:ascii="Times New Roman" w:hAnsi="Times New Roman" w:eastAsia="Times New Roman" w:cs="Times New Roman"/>
      <w:sz w:val="20"/>
      <w:szCs w:val="20"/>
    </w:rPr>
  </w:style>
  <w:style w:type="character" w:styleId="FootnoteTextChar">
    <w:name w:val="Footnote Text Char"/>
    <w:qFormat/>
    <w:rPr>
      <w:rFonts w:ascii="Times New Roman" w:hAnsi="Times New Roman" w:eastAsia="Times New Roman" w:cs="Times New Roman"/>
    </w:rPr>
  </w:style>
  <w:style w:type="character" w:styleId="Style14">
    <w:name w:val="Символ сноски"/>
    <w:qFormat/>
    <w:rPr>
      <w:vertAlign w:val="superscript"/>
    </w:rPr>
  </w:style>
  <w:style w:type="character" w:styleId="BodyTextChar">
    <w:name w:val="Body Text Char"/>
    <w:qFormat/>
    <w:rPr>
      <w:rFonts w:ascii="Times New Roman" w:hAnsi="Times New Roman" w:cs="Times New Roman"/>
      <w:b/>
      <w:bCs/>
      <w:sz w:val="18"/>
      <w:szCs w:val="18"/>
      <w:lang w:val="en-US"/>
    </w:rPr>
  </w:style>
  <w:style w:type="character" w:styleId="Appleconvertedspace">
    <w:name w:val="apple-converted-space"/>
    <w:basedOn w:val="Style13"/>
    <w:qFormat/>
    <w:rPr/>
  </w:style>
  <w:style w:type="character" w:styleId="Heading5Char">
    <w:name w:val="Heading 5 Char"/>
    <w:qFormat/>
    <w:rPr>
      <w:rFonts w:ascii="Times" w:hAnsi="Times" w:cs="Times"/>
      <w:b/>
      <w:bCs/>
      <w:sz w:val="20"/>
      <w:szCs w:val="20"/>
    </w:rPr>
  </w:style>
  <w:style w:type="character" w:styleId="Style15">
    <w:name w:val="Интернет-ссылка"/>
    <w:rPr>
      <w:color w:val="0000FF"/>
      <w:u w:val="single"/>
    </w:rPr>
  </w:style>
  <w:style w:type="character" w:styleId="Style16">
    <w:name w:val="Посещённая гиперссылка"/>
    <w:rPr>
      <w:color w:val="800080"/>
      <w:u w:val="single"/>
    </w:rPr>
  </w:style>
  <w:style w:type="character" w:styleId="Style17">
    <w:name w:val="Номер страницы"/>
    <w:basedOn w:val="Style13"/>
    <w:rPr/>
  </w:style>
  <w:style w:type="character" w:styleId="Style18">
    <w:name w:val="Выделение"/>
    <w:qFormat/>
    <w:rPr>
      <w:i/>
      <w:iCs/>
    </w:rPr>
  </w:style>
  <w:style w:type="character" w:styleId="Strong">
    <w:name w:val="strong"/>
    <w:basedOn w:val="Style13"/>
    <w:qFormat/>
    <w:rPr/>
  </w:style>
  <w:style w:type="character" w:styleId="Xformhint">
    <w:name w:val="xform_hint"/>
    <w:basedOn w:val="Style13"/>
    <w:qFormat/>
    <w:rPr/>
  </w:style>
  <w:style w:type="character" w:styleId="NotedebasdepageCarCarCar">
    <w:name w:val="Note de bas de page Car Car Car Знак"/>
    <w:qFormat/>
    <w:rPr>
      <w:sz w:val="24"/>
      <w:szCs w:val="24"/>
      <w:lang w:val="ru-RU" w:bidi="ar-SA"/>
    </w:rPr>
  </w:style>
  <w:style w:type="character" w:styleId="Style19">
    <w:name w:val=" Знак Знак"/>
    <w:qFormat/>
    <w:rPr>
      <w:lang w:val="ru-RU" w:bidi="ar-SA"/>
    </w:rPr>
  </w:style>
  <w:style w:type="character" w:styleId="WW8Dropcap0">
    <w:name w:val="WW8Dropcap0"/>
    <w:qFormat/>
    <w:rPr>
      <w:rFonts w:ascii="Garamond" w:hAnsi="Garamond" w:cs="Garamond"/>
      <w:sz w:val="112"/>
      <w:szCs w:val="24"/>
    </w:rPr>
  </w:style>
  <w:style w:type="character" w:styleId="Style20">
    <w:name w:val="Привязка сноски"/>
    <w:rPr>
      <w:vertAlign w:val="superscript"/>
    </w:rPr>
  </w:style>
  <w:style w:type="character" w:styleId="Style21">
    <w:name w:val="Привязка концевой сноски"/>
    <w:rPr>
      <w:vertAlign w:val="superscript"/>
    </w:rPr>
  </w:style>
  <w:style w:type="character" w:styleId="Style22">
    <w:name w:val="Символ концевой сноски"/>
    <w:qFormat/>
    <w:rPr/>
  </w:style>
  <w:style w:type="paragraph" w:styleId="Style23">
    <w:name w:val="Заголовок"/>
    <w:basedOn w:val="Normal"/>
    <w:next w:val="Style24"/>
    <w:qFormat/>
    <w:pPr>
      <w:keepNext w:val="true"/>
      <w:spacing w:before="240" w:after="120"/>
    </w:pPr>
    <w:rPr>
      <w:rFonts w:ascii="Liberation Sans" w:hAnsi="Liberation Sans" w:eastAsia="Noto Sans CJK SC" w:cs="Lohit Devanagari"/>
      <w:sz w:val="28"/>
      <w:szCs w:val="28"/>
    </w:rPr>
  </w:style>
  <w:style w:type="paragraph" w:styleId="Style24">
    <w:name w:val="Body Text"/>
    <w:basedOn w:val="Normal"/>
    <w:pPr>
      <w:widowControl w:val="false"/>
      <w:autoSpaceDE w:val="false"/>
      <w:ind w:start="40" w:hanging="0"/>
    </w:pPr>
    <w:rPr>
      <w:rFonts w:eastAsia="MS Mincho;MS Gothic"/>
      <w:b/>
      <w:bCs/>
      <w:sz w:val="18"/>
      <w:szCs w:val="18"/>
      <w:lang w:val="en-US"/>
    </w:rPr>
  </w:style>
  <w:style w:type="paragraph" w:styleId="Style25">
    <w:name w:val="List"/>
    <w:basedOn w:val="Style24"/>
    <w:pPr/>
    <w:rPr>
      <w:rFonts w:cs="Lohit Devanagari"/>
    </w:rPr>
  </w:style>
  <w:style w:type="paragraph" w:styleId="Style26">
    <w:name w:val="Caption"/>
    <w:basedOn w:val="Normal"/>
    <w:qFormat/>
    <w:pPr>
      <w:suppressLineNumbers/>
      <w:spacing w:before="120" w:after="120"/>
    </w:pPr>
    <w:rPr>
      <w:rFonts w:cs="Lohit Devanagari"/>
      <w:i/>
      <w:iCs/>
      <w:sz w:val="24"/>
      <w:szCs w:val="24"/>
    </w:rPr>
  </w:style>
  <w:style w:type="paragraph" w:styleId="Style27">
    <w:name w:val="Указатель"/>
    <w:basedOn w:val="Normal"/>
    <w:qFormat/>
    <w:pPr>
      <w:suppressLineNumbers/>
    </w:pPr>
    <w:rPr>
      <w:rFonts w:cs="Lohit Devanagari"/>
    </w:rPr>
  </w:style>
  <w:style w:type="paragraph" w:styleId="Style28">
    <w:name w:val="Footer"/>
    <w:basedOn w:val="Normal"/>
    <w:pPr/>
    <w:rPr/>
  </w:style>
  <w:style w:type="paragraph" w:styleId="Style29">
    <w:name w:val="Footnote Text"/>
    <w:basedOn w:val="Normal"/>
    <w:pPr/>
    <w:rPr>
      <w:sz w:val="24"/>
      <w:szCs w:val="24"/>
    </w:rPr>
  </w:style>
  <w:style w:type="paragraph" w:styleId="ListParagraph">
    <w:name w:val="List Paragraph"/>
    <w:basedOn w:val="Normal"/>
    <w:qFormat/>
    <w:pPr>
      <w:spacing w:before="0" w:after="0"/>
      <w:ind w:start="720" w:hanging="0"/>
      <w:contextualSpacing/>
    </w:pPr>
    <w:rPr/>
  </w:style>
  <w:style w:type="paragraph" w:styleId="Style30">
    <w:name w:val="Header"/>
    <w:basedOn w:val="Normal"/>
    <w:pPr>
      <w:tabs>
        <w:tab w:val="center" w:pos="4677" w:leader="none"/>
        <w:tab w:val="right" w:pos="9355" w:leader="none"/>
      </w:tabs>
    </w:pPr>
    <w:rPr/>
  </w:style>
  <w:style w:type="paragraph" w:styleId="Style31">
    <w:name w:val="Обычный (веб)"/>
    <w:basedOn w:val="Normal"/>
    <w:qFormat/>
    <w:pPr>
      <w:spacing w:before="280" w:after="280"/>
    </w:pPr>
    <w:rPr>
      <w:sz w:val="24"/>
      <w:szCs w:val="24"/>
    </w:rPr>
  </w:style>
  <w:style w:type="paragraph" w:styleId="Msonormalmailrucssattributepostfix">
    <w:name w:val="msonormal_mailru_css_attribute_postfix"/>
    <w:basedOn w:val="Normal"/>
    <w:qFormat/>
    <w:pPr>
      <w:spacing w:before="280" w:after="280"/>
    </w:pPr>
    <w:rPr>
      <w:sz w:val="24"/>
      <w:szCs w:val="24"/>
    </w:rPr>
  </w:style>
  <w:style w:type="paragraph" w:styleId="Style32">
    <w:name w:val="Содержимое таблицы"/>
    <w:basedOn w:val="Normal"/>
    <w:qFormat/>
    <w:pPr>
      <w:suppressLineNumbers/>
    </w:pPr>
    <w:rPr/>
  </w:style>
  <w:style w:type="paragraph" w:styleId="Style33">
    <w:name w:val="Заголовок таблицы"/>
    <w:basedOn w:val="Style32"/>
    <w:qFormat/>
    <w:pPr>
      <w:suppressLineNumbers/>
      <w:jc w:val="center"/>
    </w:pPr>
    <w:rPr>
      <w:b/>
      <w:bCs/>
    </w:rPr>
  </w:style>
  <w:style w:type="paragraph" w:styleId="Style34">
    <w:name w:val="Содержимое врезки"/>
    <w:basedOn w:val="Normal"/>
    <w:qFormat/>
    <w:pPr/>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header" Target="header1.xml"/><Relationship Id="rId5" Type="http://schemas.openxmlformats.org/officeDocument/2006/relationships/footer" Target="footer2.xml"/><Relationship Id="rId6" Type="http://schemas.openxmlformats.org/officeDocument/2006/relationships/footnotes" Target="footnotes.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mailto:lowvolga@gmail.com" TargetMode="External"/><Relationship Id="rId2" Type="http://schemas.openxmlformats.org/officeDocument/2006/relationships/hyperlink" Target="mailto:lowvolga@gmail.com" TargetMode="External"/>
</Relationships>
</file>

<file path=docProps/app.xml><?xml version="1.0" encoding="utf-8"?>
<Properties xmlns="http://schemas.openxmlformats.org/officeDocument/2006/extended-properties" xmlns:vt="http://schemas.openxmlformats.org/officeDocument/2006/docPropsVTypes">
  <Template>Normal</Template>
  <TotalTime>391</TotalTime>
  <Application>LibreOffice/6.0.7.3$Linux_X86_64 LibreOffice_project/00m0$Build-3</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2020-08-20T15:44:00Z</dcterms:created>
  <dc:creator>Vestnik IOS RAS</dc:creator>
  <dc:description/>
  <cp:keywords/>
  <dc:language>ru-RU</dc:language>
  <cp:lastModifiedBy>Malykh</cp:lastModifiedBy>
  <dcterms:modified xsi:type="dcterms:W3CDTF">2020-09-22T22:17:00Z</dcterms:modified>
  <cp:revision>100</cp:revision>
  <dc:subject/>
  <dc:title>РУБРИКА: РЕЦЕНЗИИ; к юбилею ИВ РАН (</dc:title>
</cp:coreProperties>
</file>