
<file path=[Content_Types].xml><?xml version="1.0" encoding="utf-8"?>
<Types xmlns="http://schemas.openxmlformats.org/package/2006/content-types">
  <Override PartName="/_rels/.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word/_rels/document.xml.rels" ContentType="application/vnd.openxmlformats-package.relationships+xml"/>
  <Override PartName="/word/fontTable.xml" ContentType="application/vnd.openxmlformats-officedocument.wordprocessingml.fontTable+xml"/>
  <Override PartName="/word/settings.xml" ContentType="application/vnd.openxmlformats-officedocument.wordprocessingml.settings+xml"/>
  <Override PartName="/word/footnotes.xml" ContentType="application/vnd.openxmlformats-officedocument.wordprocessingml.footnotes+xml"/>
  <Override PartName="/word/numbering.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Override PartName="/word/footer2.xml" ContentType="application/vnd.openxmlformats-officedocument.wordprocessingml.footer+xml"/>
  <Override PartName="/word/media/image14.jpeg" ContentType="image/jpeg"/>
  <Override PartName="/word/media/image13.jpeg" ContentType="image/jpeg"/>
  <Override PartName="/word/media/image12.jpeg" ContentType="image/jpeg"/>
  <Override PartName="/word/media/image11.jpeg" ContentType="image/jpeg"/>
  <Override PartName="/word/media/image10.jpeg" ContentType="image/jpeg"/>
  <Override PartName="/word/media/image9.jpeg" ContentType="image/jpeg"/>
  <Override PartName="/word/media/image8.jpeg" ContentType="image/jpeg"/>
  <Override PartName="/word/media/image7.jpeg" ContentType="image/jpeg"/>
  <Override PartName="/word/media/image2.jpeg" ContentType="image/jpeg"/>
  <Override PartName="/word/media/image1.jpeg" ContentType="image/jpeg"/>
  <Override PartName="/word/media/image3.jpeg" ContentType="image/jpeg"/>
  <Override PartName="/word/media/image4.jpeg" ContentType="image/jpeg"/>
  <Override PartName="/word/media/image5.jpeg" ContentType="image/jpeg"/>
  <Override PartName="/word/media/image6.jpeg" ContentType="image/jpeg"/>
  <Override PartName="/word/footer1.xml" ContentType="application/vnd.openxmlformats-officedocument.wordprocessingml.footer+xml"/>
  <Override PartName="/word/header1.xml" ContentType="application/vnd.openxmlformats-officedocument.wordprocessingml.header+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tbl>
      <w:tblPr>
        <w:tblW w:w="8820" w:type="dxa"/>
        <w:jc w:val="start"/>
        <w:tblInd w:w="0" w:type="dxa"/>
        <w:tblBorders>
          <w:bottom w:val="thickThinMediumGap" w:sz="24" w:space="0" w:color="000000"/>
          <w:insideH w:val="thickThinMediumGap" w:sz="24" w:space="0" w:color="000000"/>
        </w:tblBorders>
        <w:tblCellMar>
          <w:top w:w="0" w:type="dxa"/>
          <w:start w:w="108" w:type="dxa"/>
          <w:bottom w:w="0" w:type="dxa"/>
          <w:end w:w="108" w:type="dxa"/>
        </w:tblCellMar>
      </w:tblPr>
      <w:tblGrid>
        <w:gridCol w:w="8820"/>
      </w:tblGrid>
      <w:tr>
        <w:trPr/>
        <w:tc>
          <w:tcPr>
            <w:tcW w:w="8820" w:type="dxa"/>
            <w:tcBorders>
              <w:bottom w:val="thickThinMediumGap" w:sz="24" w:space="0" w:color="000000"/>
              <w:insideH w:val="thickThinMediumGap" w:sz="24" w:space="0" w:color="000000"/>
            </w:tcBorders>
            <w:shd w:fill="auto" w:val="clear"/>
          </w:tcPr>
          <w:p>
            <w:pPr>
              <w:pStyle w:val="Normal"/>
              <w:snapToGrid w:val="false"/>
              <w:ind w:end="-31" w:hanging="0"/>
              <w:jc w:val="center"/>
              <w:rPr>
                <w:rFonts w:ascii="Garamond" w:hAnsi="Garamond" w:cs="Garamond"/>
                <w:b/>
                <w:b/>
                <w:caps/>
                <w:sz w:val="12"/>
                <w:szCs w:val="12"/>
              </w:rPr>
            </w:pPr>
            <w:r>
              <w:rPr>
                <w:rFonts w:cs="Garamond" w:ascii="Garamond" w:hAnsi="Garamond"/>
                <w:b/>
                <w:caps/>
                <w:sz w:val="12"/>
                <w:szCs w:val="12"/>
              </w:rPr>
            </w:r>
          </w:p>
        </w:tc>
      </w:tr>
    </w:tbl>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ind w:end="-31" w:hanging="0"/>
        <w:rPr>
          <w:rFonts w:ascii="Garamond" w:hAnsi="Garamond" w:cs="Garamond"/>
          <w:b/>
          <w:b/>
          <w:sz w:val="24"/>
          <w:szCs w:val="24"/>
        </w:rPr>
      </w:pPr>
      <w:r>
        <w:rPr>
          <w:rFonts w:cs="Garamond" w:ascii="Garamond" w:hAnsi="Garamond"/>
          <w:sz w:val="24"/>
          <w:szCs w:val="24"/>
          <w:lang w:val="en-US"/>
        </w:rPr>
        <w:t>DOI</w:t>
      </w:r>
      <w:r>
        <w:rPr>
          <w:rFonts w:cs="Garamond" w:ascii="Garamond" w:hAnsi="Garamond"/>
          <w:sz w:val="24"/>
          <w:szCs w:val="24"/>
        </w:rPr>
        <w:t>: 10.31696/2618-7302-2020-1-178-185</w:t>
      </w:r>
    </w:p>
    <w:p>
      <w:pPr>
        <w:pStyle w:val="Normal"/>
        <w:ind w:end="-31" w:hanging="0"/>
        <w:rPr>
          <w:rFonts w:ascii="Garamond" w:hAnsi="Garamond" w:cs="Garamond"/>
          <w:b/>
          <w:b/>
          <w:sz w:val="24"/>
          <w:szCs w:val="24"/>
        </w:rPr>
      </w:pPr>
      <w:r>
        <w:rPr>
          <w:rFonts w:cs="Garamond" w:ascii="Garamond" w:hAnsi="Garamond"/>
          <w:b/>
          <w:sz w:val="24"/>
          <w:szCs w:val="24"/>
        </w:rPr>
      </w:r>
    </w:p>
    <w:p>
      <w:pPr>
        <w:pStyle w:val="Normal"/>
        <w:spacing w:lineRule="auto" w:line="360"/>
        <w:ind w:end="-31" w:hanging="0"/>
        <w:jc w:val="center"/>
        <w:rPr>
          <w:rFonts w:ascii="Garamond" w:hAnsi="Garamond" w:cs="Garamond"/>
          <w:b/>
          <w:b/>
          <w:sz w:val="26"/>
          <w:szCs w:val="26"/>
        </w:rPr>
      </w:pPr>
      <w:r>
        <w:rPr>
          <w:rFonts w:cs="Garamond" w:ascii="Garamond" w:hAnsi="Garamond"/>
          <w:b/>
          <w:sz w:val="26"/>
          <w:szCs w:val="26"/>
        </w:rPr>
        <w:t>ГОНЧАРСТВО ТУНИССКОГО НАБЁЛЯ:</w:t>
      </w:r>
    </w:p>
    <w:p>
      <w:pPr>
        <w:pStyle w:val="Normal"/>
        <w:spacing w:lineRule="auto" w:line="360"/>
        <w:ind w:end="-31" w:hanging="0"/>
        <w:jc w:val="center"/>
        <w:rPr>
          <w:rFonts w:ascii="Garamond" w:hAnsi="Garamond" w:cs="Garamond"/>
          <w:b/>
          <w:b/>
          <w:sz w:val="26"/>
          <w:szCs w:val="26"/>
        </w:rPr>
      </w:pPr>
      <w:r>
        <w:rPr>
          <w:rFonts w:cs="Garamond" w:ascii="Garamond" w:hAnsi="Garamond"/>
          <w:b/>
          <w:sz w:val="26"/>
          <w:szCs w:val="26"/>
        </w:rPr>
        <w:t>ДРЕВНИЕ ТРАДИЦИИ И СОВРЕМЕННОСТЬ</w:t>
      </w:r>
    </w:p>
    <w:p>
      <w:pPr>
        <w:pStyle w:val="Normal"/>
        <w:spacing w:lineRule="auto" w:line="360"/>
        <w:ind w:end="-31" w:hanging="0"/>
        <w:rPr>
          <w:rFonts w:ascii="Garamond" w:hAnsi="Garamond" w:cs="Garamond"/>
          <w:sz w:val="24"/>
          <w:szCs w:val="24"/>
        </w:rPr>
      </w:pPr>
      <w:r>
        <w:rPr>
          <w:rFonts w:cs="Garamond" w:ascii="Garamond" w:hAnsi="Garamond"/>
          <w:sz w:val="24"/>
          <w:szCs w:val="24"/>
        </w:rPr>
        <w:t>© 2020</w:t>
      </w:r>
      <w:r>
        <w:rPr>
          <w:rFonts w:cs="Garamond" w:ascii="Garamond" w:hAnsi="Garamond"/>
          <w:b/>
          <w:sz w:val="24"/>
          <w:szCs w:val="24"/>
        </w:rPr>
        <w:t xml:space="preserve"> </w:t>
        <w:tab/>
        <w:tab/>
        <w:tab/>
        <w:tab/>
        <w:t xml:space="preserve"> </w:t>
      </w:r>
      <w:r>
        <w:rPr>
          <w:rFonts w:cs="Garamond" w:ascii="Garamond" w:hAnsi="Garamond"/>
          <w:b/>
          <w:sz w:val="26"/>
          <w:szCs w:val="26"/>
        </w:rPr>
        <w:t>С. Е. Малых</w:t>
      </w:r>
      <w:r>
        <w:rPr>
          <w:rStyle w:val="Style14"/>
          <w:rStyle w:val="Style19"/>
          <w:rFonts w:cs="Garamond" w:ascii="Garamond" w:hAnsi="Garamond"/>
          <w:sz w:val="26"/>
          <w:szCs w:val="26"/>
        </w:rPr>
        <w:footnoteReference w:id="2"/>
      </w:r>
    </w:p>
    <w:p>
      <w:pPr>
        <w:pStyle w:val="Normal"/>
        <w:ind w:end="-31" w:firstLine="720"/>
        <w:jc w:val="both"/>
        <w:rPr/>
      </w:pPr>
      <w:r>
        <w:rPr>
          <w:rFonts w:cs="Garamond" w:ascii="Garamond" w:hAnsi="Garamond"/>
          <w:sz w:val="22"/>
          <w:szCs w:val="22"/>
        </w:rPr>
        <w:t xml:space="preserve">Статья посвящена гончарному производству тунисского города Набёля, административного центра провинции Кап Бон, расположенной в северо-восточной части страны, на побережье Средиземного моря. Современный Набёль находится на месте античного города Неаполь. Распространенное занятие местных жителей — гончарное производство — обусловлено крупными залежами мергельных глин, имеющихся в округе. Истоки этого ремесла берут свое начало еще в первых веках нашей эры, когда римляне основали на месте небольшого греческого торгового поселения свой город и привнесли сюда свои традиции гончарства. Археологические изыскания в Набёле и его окрестностях выявили существование нескольких гончарных центров, занимавшихся изготовлением как крупной транспортировочной тары — амфор, так и тонкой столовой посуды, имитировавшей римскую </w:t>
      </w:r>
      <w:r>
        <w:rPr>
          <w:rFonts w:cs="Garamond" w:ascii="Garamond" w:hAnsi="Garamond"/>
          <w:i/>
          <w:sz w:val="22"/>
          <w:szCs w:val="22"/>
        </w:rPr>
        <w:t>терра сигиллата</w:t>
      </w:r>
      <w:r>
        <w:rPr>
          <w:rFonts w:cs="Garamond" w:ascii="Garamond" w:hAnsi="Garamond"/>
          <w:sz w:val="22"/>
          <w:szCs w:val="22"/>
        </w:rPr>
        <w:t>. Отсюда набёльская керамика распространилась по всему Средиземноморью и была обнаружена в ходе полевых исследований в Ливии, Египте, Испании, Британии и других регионах. Это явление иллюстрирует торговые связи между различными провинциями Римской империи. Современное гончарное производство Набёля, ориентированное и на внутренний рынок, и на туристов, также концентрируется на изготовлении крупных форм и богато орнаментированной столовой посуды, декор которой в целом отражает стиль исламских глазурованных керамических изделий, но более близко соотносится со стилем современной арабской керамики стран Магриба, особенно Марокко. Также современная керамика Туниса демонстрирует сходство по форме, орнаменту и цветовой палитре с современной провинциальной керамикой Испании, прежде всего, Андалусии, и, вероятно, имеет с ней общие корни.</w:t>
      </w:r>
    </w:p>
    <w:p>
      <w:pPr>
        <w:pStyle w:val="Normal"/>
        <w:ind w:end="-31" w:firstLine="720"/>
        <w:jc w:val="both"/>
        <w:rPr/>
      </w:pPr>
      <w:r>
        <w:rPr>
          <w:rFonts w:cs="Garamond" w:ascii="Garamond" w:hAnsi="Garamond"/>
          <w:i/>
          <w:sz w:val="22"/>
          <w:szCs w:val="22"/>
        </w:rPr>
        <w:t xml:space="preserve">Ключевые слова: </w:t>
      </w:r>
      <w:r>
        <w:rPr>
          <w:rFonts w:cs="Garamond" w:ascii="Garamond" w:hAnsi="Garamond"/>
          <w:sz w:val="22"/>
          <w:szCs w:val="22"/>
        </w:rPr>
        <w:t xml:space="preserve">Тунис, Набёль, провинции Римской империи, колония Проконсульская Африка, тунисская керамика, гончарное производство, амфорная тара, </w:t>
      </w:r>
      <w:r>
        <w:rPr>
          <w:rFonts w:cs="Garamond" w:ascii="Garamond" w:hAnsi="Garamond"/>
          <w:i/>
          <w:sz w:val="22"/>
          <w:szCs w:val="22"/>
        </w:rPr>
        <w:t>терра сигиллата.</w:t>
      </w:r>
    </w:p>
    <w:p>
      <w:pPr>
        <w:pStyle w:val="Normal"/>
        <w:ind w:end="-31" w:firstLine="708"/>
        <w:jc w:val="both"/>
        <w:rPr>
          <w:rFonts w:ascii="Garamond" w:hAnsi="Garamond" w:cs="Garamond"/>
          <w:iCs/>
          <w:sz w:val="22"/>
          <w:szCs w:val="22"/>
        </w:rPr>
      </w:pPr>
      <w:r>
        <w:rPr>
          <w:rFonts w:cs="Garamond" w:ascii="Garamond" w:hAnsi="Garamond"/>
          <w:i/>
          <w:iCs/>
          <w:sz w:val="22"/>
          <w:szCs w:val="22"/>
        </w:rPr>
        <w:t xml:space="preserve">Для цитирования: </w:t>
      </w:r>
      <w:r>
        <w:rPr>
          <w:rFonts w:cs="Garamond" w:ascii="Garamond" w:hAnsi="Garamond"/>
          <w:iCs/>
          <w:sz w:val="22"/>
          <w:szCs w:val="22"/>
        </w:rPr>
        <w:t xml:space="preserve">Малых С. Е. </w:t>
      </w:r>
      <w:r>
        <w:rPr>
          <w:rFonts w:cs="Garamond" w:ascii="Garamond" w:hAnsi="Garamond"/>
          <w:sz w:val="22"/>
          <w:szCs w:val="22"/>
        </w:rPr>
        <w:t xml:space="preserve">Гончарство тунисского Набёля: древние традиции и современность. </w:t>
      </w:r>
      <w:r>
        <w:rPr>
          <w:rFonts w:cs="Garamond" w:ascii="Garamond" w:hAnsi="Garamond"/>
          <w:i/>
          <w:sz w:val="22"/>
          <w:szCs w:val="22"/>
        </w:rPr>
        <w:t>Вестник Института востоковедения РАН</w:t>
      </w:r>
      <w:r>
        <w:rPr>
          <w:rFonts w:cs="Garamond" w:ascii="Garamond" w:hAnsi="Garamond"/>
          <w:sz w:val="22"/>
          <w:szCs w:val="22"/>
        </w:rPr>
        <w:t>. 2020. №</w:t>
      </w:r>
      <w:r>
        <w:rPr>
          <w:rFonts w:cs="Garamond" w:ascii="Garamond" w:hAnsi="Garamond"/>
          <w:sz w:val="22"/>
          <w:szCs w:val="22"/>
          <w:lang w:val="en-US"/>
        </w:rPr>
        <w:t> </w:t>
      </w:r>
      <w:r>
        <w:rPr>
          <w:rFonts w:cs="Garamond" w:ascii="Garamond" w:hAnsi="Garamond"/>
          <w:sz w:val="22"/>
          <w:szCs w:val="22"/>
        </w:rPr>
        <w:t>1. С.</w:t>
      </w:r>
      <w:r>
        <w:rPr>
          <w:rFonts w:cs="Garamond" w:ascii="Garamond" w:hAnsi="Garamond"/>
          <w:sz w:val="22"/>
          <w:szCs w:val="22"/>
          <w:lang w:val="en-US"/>
        </w:rPr>
        <w:t> </w:t>
      </w:r>
      <w:r>
        <w:rPr>
          <w:rFonts w:cs="Garamond" w:ascii="Garamond" w:hAnsi="Garamond"/>
          <w:sz w:val="22"/>
          <w:szCs w:val="22"/>
        </w:rPr>
        <w:t xml:space="preserve">178–185. </w:t>
      </w:r>
      <w:r>
        <w:rPr>
          <w:rFonts w:cs="Garamond" w:ascii="Garamond" w:hAnsi="Garamond"/>
          <w:sz w:val="22"/>
          <w:szCs w:val="22"/>
          <w:lang w:val="en-US"/>
        </w:rPr>
        <w:t>DOI</w:t>
      </w:r>
      <w:r>
        <w:rPr>
          <w:rFonts w:cs="Garamond" w:ascii="Garamond" w:hAnsi="Garamond"/>
          <w:sz w:val="22"/>
          <w:szCs w:val="22"/>
        </w:rPr>
        <w:t>: 10.31696/2618-7302-2020-1-178-185</w:t>
      </w:r>
    </w:p>
    <w:p>
      <w:pPr>
        <w:pStyle w:val="Normal"/>
        <w:ind w:end="-31" w:firstLine="708"/>
        <w:jc w:val="both"/>
        <w:rPr>
          <w:rFonts w:ascii="Garamond" w:hAnsi="Garamond" w:cs="Garamond"/>
          <w:iCs/>
          <w:sz w:val="22"/>
          <w:szCs w:val="22"/>
        </w:rPr>
      </w:pPr>
      <w:r>
        <w:rPr>
          <w:rFonts w:cs="Garamond" w:ascii="Garamond" w:hAnsi="Garamond"/>
          <w:iCs/>
          <w:sz w:val="22"/>
          <w:szCs w:val="22"/>
        </w:rPr>
      </w:r>
    </w:p>
    <w:p>
      <w:pPr>
        <w:pStyle w:val="Normal"/>
        <w:spacing w:lineRule="auto" w:line="360"/>
        <w:ind w:end="-31" w:hanging="0"/>
        <w:jc w:val="center"/>
        <w:rPr/>
      </w:pPr>
      <w:r>
        <w:rPr>
          <w:rFonts w:cs="Garamond" w:ascii="Garamond" w:hAnsi="Garamond"/>
          <w:b/>
          <w:sz w:val="26"/>
          <w:szCs w:val="26"/>
          <w:lang w:val="en-US"/>
        </w:rPr>
        <w:t>POTTERY</w:t>
      </w:r>
      <w:r>
        <w:rPr>
          <w:rFonts w:cs="Garamond" w:ascii="Garamond" w:hAnsi="Garamond"/>
          <w:b/>
          <w:sz w:val="26"/>
          <w:szCs w:val="26"/>
        </w:rPr>
        <w:t xml:space="preserve"> </w:t>
      </w:r>
      <w:r>
        <w:rPr>
          <w:rFonts w:cs="Garamond" w:ascii="Garamond" w:hAnsi="Garamond"/>
          <w:b/>
          <w:sz w:val="26"/>
          <w:szCs w:val="26"/>
          <w:lang w:val="en-US"/>
        </w:rPr>
        <w:t>OF</w:t>
      </w:r>
      <w:r>
        <w:rPr>
          <w:rFonts w:cs="Garamond" w:ascii="Garamond" w:hAnsi="Garamond"/>
          <w:b/>
          <w:sz w:val="26"/>
          <w:szCs w:val="26"/>
        </w:rPr>
        <w:t xml:space="preserve"> </w:t>
      </w:r>
      <w:r>
        <w:rPr>
          <w:rFonts w:cs="Garamond" w:ascii="Garamond" w:hAnsi="Garamond"/>
          <w:b/>
          <w:sz w:val="26"/>
          <w:szCs w:val="26"/>
          <w:lang w:val="en-US"/>
        </w:rPr>
        <w:t>THE</w:t>
      </w:r>
      <w:r>
        <w:rPr>
          <w:rFonts w:cs="Garamond" w:ascii="Garamond" w:hAnsi="Garamond"/>
          <w:b/>
          <w:sz w:val="26"/>
          <w:szCs w:val="26"/>
        </w:rPr>
        <w:t xml:space="preserve"> </w:t>
      </w:r>
      <w:r>
        <w:rPr>
          <w:rFonts w:cs="Garamond" w:ascii="Garamond" w:hAnsi="Garamond"/>
          <w:b/>
          <w:sz w:val="26"/>
          <w:szCs w:val="26"/>
          <w:lang w:val="en-US"/>
        </w:rPr>
        <w:t>TUNISIAN</w:t>
      </w:r>
      <w:r>
        <w:rPr>
          <w:rFonts w:cs="Garamond" w:ascii="Garamond" w:hAnsi="Garamond"/>
          <w:b/>
          <w:sz w:val="26"/>
          <w:szCs w:val="26"/>
        </w:rPr>
        <w:t xml:space="preserve"> </w:t>
      </w:r>
      <w:r>
        <w:rPr>
          <w:rFonts w:cs="Garamond" w:ascii="Garamond" w:hAnsi="Garamond"/>
          <w:b/>
          <w:sz w:val="26"/>
          <w:szCs w:val="26"/>
          <w:lang w:val="en-US"/>
        </w:rPr>
        <w:t>NABEUL</w:t>
      </w:r>
      <w:r>
        <w:rPr>
          <w:rFonts w:cs="Garamond" w:ascii="Garamond" w:hAnsi="Garamond"/>
          <w:b/>
          <w:sz w:val="26"/>
          <w:szCs w:val="26"/>
        </w:rPr>
        <w:t>:</w:t>
      </w:r>
    </w:p>
    <w:p>
      <w:pPr>
        <w:pStyle w:val="Normal"/>
        <w:spacing w:lineRule="auto" w:line="360"/>
        <w:ind w:end="-31" w:hanging="0"/>
        <w:jc w:val="center"/>
        <w:rPr>
          <w:rFonts w:ascii="Garamond" w:hAnsi="Garamond" w:cs="Garamond"/>
          <w:b/>
          <w:b/>
          <w:sz w:val="26"/>
          <w:szCs w:val="26"/>
          <w:lang w:val="en-US"/>
        </w:rPr>
      </w:pPr>
      <w:r>
        <w:rPr>
          <w:rFonts w:cs="Garamond" w:ascii="Garamond" w:hAnsi="Garamond"/>
          <w:b/>
          <w:sz w:val="26"/>
          <w:szCs w:val="26"/>
          <w:lang w:val="en-US"/>
        </w:rPr>
        <w:t>ANCIENT TRADITIONS AND MODERNITY</w:t>
      </w:r>
    </w:p>
    <w:p>
      <w:pPr>
        <w:pStyle w:val="Normal"/>
        <w:spacing w:lineRule="auto" w:line="360"/>
        <w:ind w:end="-31" w:hanging="0"/>
        <w:jc w:val="center"/>
        <w:rPr>
          <w:rFonts w:ascii="Garamond" w:hAnsi="Garamond" w:cs="Garamond"/>
          <w:b/>
          <w:b/>
          <w:sz w:val="26"/>
          <w:szCs w:val="26"/>
          <w:lang w:val="en-US"/>
        </w:rPr>
      </w:pPr>
      <w:r>
        <w:rPr>
          <w:rFonts w:cs="Garamond" w:ascii="Garamond" w:hAnsi="Garamond"/>
          <w:b/>
          <w:sz w:val="26"/>
          <w:szCs w:val="26"/>
          <w:lang w:val="en-US"/>
        </w:rPr>
        <w:t>Svetlana E. Malykh</w:t>
      </w:r>
    </w:p>
    <w:p>
      <w:pPr>
        <w:sectPr>
          <w:footerReference w:type="default" r:id="rId2"/>
          <w:footnotePr>
            <w:numFmt w:val="decimal"/>
            <w:numRestart w:val="eachSect"/>
          </w:footnotePr>
          <w:type w:val="nextPage"/>
          <w:pgSz w:w="11057" w:h="14740"/>
          <w:pgMar w:left="1134" w:right="1134" w:header="0" w:top="1134" w:footer="709" w:bottom="1134" w:gutter="0"/>
          <w:pgNumType w:start="178" w:fmt="decimal"/>
          <w:formProt w:val="false"/>
          <w:textDirection w:val="lrTb"/>
          <w:docGrid w:type="default" w:linePitch="360" w:charSpace="0"/>
        </w:sectPr>
        <w:pStyle w:val="Normal"/>
        <w:ind w:end="-31" w:firstLine="720"/>
        <w:jc w:val="both"/>
        <w:rPr>
          <w:rFonts w:ascii="Garamond" w:hAnsi="Garamond" w:cs="Garamond"/>
          <w:sz w:val="22"/>
          <w:szCs w:val="22"/>
          <w:lang w:val="en-US"/>
        </w:rPr>
      </w:pPr>
      <w:r>
        <w:rPr>
          <w:rFonts w:cs="Garamond" w:ascii="Garamond" w:hAnsi="Garamond"/>
          <w:sz w:val="22"/>
          <w:szCs w:val="22"/>
          <w:lang w:val="en-US"/>
        </w:rPr>
        <w:t xml:space="preserve">The article examines the pottery production of the Tunisian city of Nabeul, the administrative center of the province of Cap Bon, located in the north-eastern part of the country, on the </w:t>
      </w:r>
    </w:p>
    <w:p>
      <w:pPr>
        <w:pStyle w:val="Normal"/>
        <w:ind w:end="-31" w:hanging="0"/>
        <w:jc w:val="both"/>
        <w:rPr/>
      </w:pPr>
      <w:r>
        <w:rPr>
          <w:rFonts w:cs="Garamond" w:ascii="Garamond" w:hAnsi="Garamond"/>
          <w:sz w:val="22"/>
          <w:szCs w:val="22"/>
          <w:lang w:val="en-US"/>
        </w:rPr>
        <w:t xml:space="preserve">Mediterranean coast. Modern Nabeul is situated on the site of the ancient city of </w:t>
      </w:r>
      <w:r>
        <w:rPr>
          <w:rFonts w:cs="Garamond" w:ascii="Garamond" w:hAnsi="Garamond"/>
          <w:i/>
          <w:sz w:val="22"/>
          <w:szCs w:val="22"/>
          <w:lang w:val="en-US"/>
        </w:rPr>
        <w:t>Neapolis</w:t>
      </w:r>
      <w:r>
        <w:rPr>
          <w:rFonts w:cs="Garamond" w:ascii="Garamond" w:hAnsi="Garamond"/>
          <w:sz w:val="22"/>
          <w:szCs w:val="22"/>
          <w:lang w:val="en-US"/>
        </w:rPr>
        <w:t xml:space="preserve">. A common occupation of local residents — pottery — is due to the large deposits of marl clays available in the district. The origins of this craft originate in the first centuries of our era, when the Romans founded their city on the site of a small Greek trading settlement and brought here their traditions of pottery. Archaeological surveys in Nabeul and its environs have revealed the existence of several pottery workshops engaged in the manufacture of both large ceramic containers — amphorae, and fine tableware imitating the Roman </w:t>
      </w:r>
      <w:r>
        <w:rPr>
          <w:rFonts w:cs="Garamond" w:ascii="Garamond" w:hAnsi="Garamond"/>
          <w:i/>
          <w:sz w:val="22"/>
          <w:szCs w:val="22"/>
          <w:lang w:val="en-US"/>
        </w:rPr>
        <w:t>Terra sigillata</w:t>
      </w:r>
      <w:r>
        <w:rPr>
          <w:rFonts w:cs="Garamond" w:ascii="Garamond" w:hAnsi="Garamond"/>
          <w:sz w:val="22"/>
          <w:szCs w:val="22"/>
          <w:lang w:val="en-US"/>
        </w:rPr>
        <w:t>. From here, Nabeul ceramics spread throughout the Mediterranean and was discovered in archaeological sites in Libya, Egypt, Spain, Britain and other regions. This phenomenon illustrates trade relations between various provinces of the Roman Empire. Nabeul’s modern pottery production, oriented both to the domestic market and tourists, also focuses on the production of large forms and richly ornamented tableware, the decor of which generally reflects the style of Islamic glazed ceramic products, but is more closely related to the style of modern Arabic ceramics of the Maghreb countries, especially Morocco. Also, Tunisian modern ceramics shows similarities in form, ornament and color palette with modern provincial ceramics in Spain, especially Andalusia, and probably has common roots.</w:t>
      </w:r>
    </w:p>
    <w:p>
      <w:pPr>
        <w:pStyle w:val="Normal"/>
        <w:ind w:end="-31" w:firstLine="720"/>
        <w:jc w:val="both"/>
        <w:rPr>
          <w:rFonts w:ascii="Garamond" w:hAnsi="Garamond" w:cs="Garamond"/>
          <w:sz w:val="22"/>
          <w:szCs w:val="22"/>
          <w:lang w:val="en-US"/>
        </w:rPr>
      </w:pPr>
      <w:r>
        <w:rPr>
          <w:rFonts w:cs="Garamond" w:ascii="Garamond" w:hAnsi="Garamond"/>
          <w:i/>
          <w:sz w:val="22"/>
          <w:szCs w:val="22"/>
          <w:lang w:val="en-US"/>
        </w:rPr>
        <w:t xml:space="preserve">Keywords: </w:t>
      </w:r>
      <w:r>
        <w:rPr>
          <w:rFonts w:cs="Garamond" w:ascii="Garamond" w:hAnsi="Garamond"/>
          <w:sz w:val="22"/>
          <w:szCs w:val="22"/>
          <w:lang w:val="en-US"/>
        </w:rPr>
        <w:t xml:space="preserve">Tunisia, Nabeul, provinces of Roman Empire, </w:t>
      </w:r>
      <w:r>
        <w:rPr>
          <w:rFonts w:cs="Garamond" w:ascii="Garamond" w:hAnsi="Garamond"/>
          <w:i/>
          <w:iCs/>
          <w:sz w:val="22"/>
          <w:szCs w:val="22"/>
          <w:lang w:val="en-US"/>
        </w:rPr>
        <w:t>Africa Proconsularis</w:t>
      </w:r>
      <w:r>
        <w:rPr>
          <w:rFonts w:cs="Garamond" w:ascii="Garamond" w:hAnsi="Garamond"/>
          <w:iCs/>
          <w:sz w:val="22"/>
          <w:szCs w:val="22"/>
          <w:lang w:val="en-US"/>
        </w:rPr>
        <w:t xml:space="preserve">, Tunisian pottery, pottery workshops, amphorae, </w:t>
      </w:r>
      <w:r>
        <w:rPr>
          <w:rFonts w:cs="Garamond" w:ascii="Garamond" w:hAnsi="Garamond"/>
          <w:i/>
          <w:iCs/>
          <w:sz w:val="22"/>
          <w:szCs w:val="22"/>
          <w:lang w:val="en-US"/>
        </w:rPr>
        <w:t>Terra sigillata</w:t>
      </w:r>
      <w:r>
        <w:rPr>
          <w:rFonts w:cs="Garamond" w:ascii="Garamond" w:hAnsi="Garamond"/>
          <w:iCs/>
          <w:sz w:val="22"/>
          <w:szCs w:val="22"/>
          <w:lang w:val="en-US"/>
        </w:rPr>
        <w:t>.</w:t>
      </w:r>
    </w:p>
    <w:p>
      <w:pPr>
        <w:pStyle w:val="Normal"/>
        <w:ind w:end="-31" w:firstLine="720"/>
        <w:jc w:val="both"/>
        <w:rPr>
          <w:rFonts w:ascii="Garamond" w:hAnsi="Garamond" w:cs="Garamond"/>
          <w:sz w:val="22"/>
          <w:szCs w:val="22"/>
        </w:rPr>
      </w:pPr>
      <w:r>
        <w:rPr>
          <w:rFonts w:eastAsia="Calibri;Arial" w:cs="Garamond" w:ascii="Garamond" w:hAnsi="Garamond"/>
          <w:bCs/>
          <w:i/>
          <w:iCs/>
          <w:sz w:val="22"/>
          <w:szCs w:val="22"/>
          <w:lang w:val="en-US"/>
        </w:rPr>
        <w:t xml:space="preserve">For citation: </w:t>
      </w:r>
      <w:r>
        <w:rPr>
          <w:rFonts w:eastAsia="Calibri;Arial" w:cs="Garamond" w:ascii="Garamond" w:hAnsi="Garamond"/>
          <w:sz w:val="22"/>
          <w:szCs w:val="22"/>
          <w:lang w:val="en-US"/>
        </w:rPr>
        <w:t xml:space="preserve">Malykh S. E. </w:t>
      </w:r>
      <w:r>
        <w:rPr>
          <w:rFonts w:cs="Garamond" w:ascii="Garamond" w:hAnsi="Garamond"/>
          <w:sz w:val="22"/>
          <w:szCs w:val="22"/>
          <w:lang w:val="en-US"/>
        </w:rPr>
        <w:t xml:space="preserve">Pottery of the Tunisian Nabeul: Ancient Traditions and Modernity. </w:t>
      </w:r>
      <w:r>
        <w:rPr>
          <w:rFonts w:cs="Garamond" w:ascii="Garamond" w:hAnsi="Garamond"/>
          <w:i/>
          <w:sz w:val="22"/>
          <w:szCs w:val="22"/>
          <w:lang w:val="en-US"/>
        </w:rPr>
        <w:t>Vestnik</w:t>
      </w:r>
      <w:r>
        <w:rPr>
          <w:rFonts w:cs="Garamond" w:ascii="Garamond" w:hAnsi="Garamond"/>
          <w:i/>
          <w:sz w:val="22"/>
          <w:szCs w:val="22"/>
        </w:rPr>
        <w:t xml:space="preserve"> </w:t>
      </w:r>
      <w:r>
        <w:rPr>
          <w:rFonts w:cs="Garamond" w:ascii="Garamond" w:hAnsi="Garamond"/>
          <w:i/>
          <w:sz w:val="22"/>
          <w:szCs w:val="22"/>
          <w:lang w:val="en-US"/>
        </w:rPr>
        <w:t>Instituta</w:t>
      </w:r>
      <w:r>
        <w:rPr>
          <w:rFonts w:cs="Garamond" w:ascii="Garamond" w:hAnsi="Garamond"/>
          <w:i/>
          <w:sz w:val="22"/>
          <w:szCs w:val="22"/>
        </w:rPr>
        <w:t xml:space="preserve"> </w:t>
      </w:r>
      <w:r>
        <w:rPr>
          <w:rFonts w:cs="Garamond" w:ascii="Garamond" w:hAnsi="Garamond"/>
          <w:i/>
          <w:sz w:val="22"/>
          <w:szCs w:val="22"/>
          <w:lang w:val="en-US"/>
        </w:rPr>
        <w:t>vostokovedenija</w:t>
      </w:r>
      <w:r>
        <w:rPr>
          <w:rFonts w:cs="Garamond" w:ascii="Garamond" w:hAnsi="Garamond"/>
          <w:i/>
          <w:sz w:val="22"/>
          <w:szCs w:val="22"/>
        </w:rPr>
        <w:t xml:space="preserve"> </w:t>
      </w:r>
      <w:r>
        <w:rPr>
          <w:rFonts w:cs="Garamond" w:ascii="Garamond" w:hAnsi="Garamond"/>
          <w:i/>
          <w:sz w:val="22"/>
          <w:szCs w:val="22"/>
          <w:lang w:val="en-US"/>
        </w:rPr>
        <w:t>RAN</w:t>
      </w:r>
      <w:r>
        <w:rPr>
          <w:rFonts w:cs="Garamond" w:ascii="Garamond" w:hAnsi="Garamond"/>
          <w:sz w:val="22"/>
          <w:szCs w:val="22"/>
        </w:rPr>
        <w:t xml:space="preserve">. 2020. 1. </w:t>
      </w:r>
      <w:r>
        <w:rPr>
          <w:rFonts w:cs="Garamond" w:ascii="Garamond" w:hAnsi="Garamond"/>
          <w:sz w:val="22"/>
          <w:szCs w:val="22"/>
          <w:lang w:val="en-US"/>
        </w:rPr>
        <w:t>Pp</w:t>
      </w:r>
      <w:r>
        <w:rPr>
          <w:rFonts w:cs="Garamond" w:ascii="Garamond" w:hAnsi="Garamond"/>
          <w:sz w:val="22"/>
          <w:szCs w:val="22"/>
        </w:rPr>
        <w:t>.</w:t>
      </w:r>
      <w:r>
        <w:rPr>
          <w:rFonts w:cs="Garamond" w:ascii="Garamond" w:hAnsi="Garamond"/>
          <w:sz w:val="22"/>
          <w:szCs w:val="22"/>
          <w:lang w:val="en-US"/>
        </w:rPr>
        <w:t> </w:t>
      </w:r>
      <w:r>
        <w:rPr>
          <w:rFonts w:cs="Garamond" w:ascii="Garamond" w:hAnsi="Garamond"/>
          <w:sz w:val="22"/>
          <w:szCs w:val="22"/>
        </w:rPr>
        <w:t xml:space="preserve">178–185. </w:t>
      </w:r>
      <w:r>
        <w:rPr>
          <w:rFonts w:cs="Garamond" w:ascii="Garamond" w:hAnsi="Garamond"/>
          <w:sz w:val="22"/>
          <w:szCs w:val="22"/>
          <w:lang w:val="en-US"/>
        </w:rPr>
        <w:t>DOI</w:t>
      </w:r>
      <w:r>
        <w:rPr>
          <w:rFonts w:cs="Garamond" w:ascii="Garamond" w:hAnsi="Garamond"/>
          <w:sz w:val="22"/>
          <w:szCs w:val="22"/>
        </w:rPr>
        <w:t>: 10.31696/2618-7302-2020-1-178-185</w:t>
      </w:r>
    </w:p>
    <w:p>
      <w:pPr>
        <w:pStyle w:val="Normal"/>
        <w:ind w:end="-31" w:firstLine="708"/>
        <w:jc w:val="both"/>
        <w:rPr>
          <w:rFonts w:ascii="Garamond" w:hAnsi="Garamond" w:cs="Garamond"/>
          <w:sz w:val="22"/>
          <w:szCs w:val="22"/>
        </w:rPr>
      </w:pPr>
      <w:r>
        <w:rPr>
          <w:rFonts w:cs="Garamond" w:ascii="Garamond" w:hAnsi="Garamond"/>
          <w:sz w:val="22"/>
          <w:szCs w:val="22"/>
        </w:rPr>
      </w:r>
    </w:p>
    <w:p>
      <w:pPr>
        <w:pStyle w:val="Normal"/>
        <w:ind w:end="-31" w:hanging="0"/>
        <w:jc w:val="both"/>
        <w:rPr>
          <w:rFonts w:ascii="Garamond" w:hAnsi="Garamond" w:cs="Garamond"/>
          <w:sz w:val="24"/>
          <w:szCs w:val="24"/>
        </w:rPr>
      </w:pPr>
      <w:r>
        <w:rPr/>
        <w:t>Н</w:t>
      </w:r>
      <w:r>
        <w:rPr>
          <w:rFonts w:cs="Garamond" w:ascii="Garamond" w:hAnsi="Garamond"/>
          <w:sz w:val="24"/>
          <w:szCs w:val="24"/>
        </w:rPr>
        <w:t>абёль — небольшой город, расположенный в северо-восточной части Туниса, на берегу Средиземного моря, административный центр одноименного вилайета (прежде — провинции Кап Бон). Нередко Набёль называют «городом гончаров», а его символом является установленный на площади перед вокзалом большой глиняный бело-сине-красный кувшин-</w:t>
      </w:r>
      <w:r>
        <w:rPr>
          <w:rFonts w:cs="Garamond" w:ascii="Garamond" w:hAnsi="Garamond"/>
          <w:i/>
          <w:sz w:val="24"/>
          <w:szCs w:val="24"/>
        </w:rPr>
        <w:t>зир</w:t>
      </w:r>
      <w:r>
        <w:rPr>
          <w:rFonts w:cs="Garamond" w:ascii="Garamond" w:hAnsi="Garamond"/>
          <w:sz w:val="24"/>
          <w:szCs w:val="24"/>
        </w:rPr>
        <w:t>, из которого растет пихта (</w:t>
      </w:r>
      <w:r>
        <w:rPr>
          <w:rFonts w:cs="Garamond" w:ascii="Garamond" w:hAnsi="Garamond"/>
          <w:i/>
          <w:sz w:val="24"/>
          <w:szCs w:val="24"/>
        </w:rPr>
        <w:t>илл. 1</w:t>
      </w:r>
      <w:r>
        <w:rPr>
          <w:rFonts w:cs="Garamond" w:ascii="Garamond" w:hAnsi="Garamond"/>
          <w:sz w:val="24"/>
          <w:szCs w:val="24"/>
        </w:rPr>
        <w:t>).</w:t>
      </w:r>
    </w:p>
    <w:p>
      <w:pPr>
        <w:pStyle w:val="Normal"/>
        <w:ind w:end="-31" w:firstLine="708"/>
        <w:jc w:val="both"/>
        <w:rPr/>
      </w:pPr>
      <w:r>
        <w:rPr>
          <w:rFonts w:cs="Garamond" w:ascii="Garamond" w:hAnsi="Garamond"/>
          <w:sz w:val="24"/>
          <w:szCs w:val="24"/>
        </w:rPr>
        <w:t>В современном Тунисе этот город знаменит, прежде всего, своими керамическими изделиями: разнообразными сосудами, многоцветной керамической плиткой и кирпичом для строительства, что обусловлено крупными залежами высококачественной глины, находящимися на окраине города. Красочную набёльскую плитку, покрытую как растительным орнаментом, так и замысловатыми сюжетами, в том числе иллюстрирующими работы гончаров (</w:t>
      </w:r>
      <w:r>
        <w:rPr>
          <w:rFonts w:cs="Garamond" w:ascii="Garamond" w:hAnsi="Garamond"/>
          <w:i/>
          <w:sz w:val="24"/>
          <w:szCs w:val="24"/>
        </w:rPr>
        <w:t>илл. 2, цветная вклейка, фото 3</w:t>
      </w:r>
      <w:r>
        <w:rPr>
          <w:rFonts w:cs="Garamond" w:ascii="Garamond" w:hAnsi="Garamond"/>
          <w:sz w:val="24"/>
          <w:szCs w:val="24"/>
        </w:rPr>
        <w:t xml:space="preserve">), можно видеть не только в самом Набёле, но и по всему Тунису — и в столице (одноименном городе Тунисе), и в туристических центрах — Хаммамете, Монастире, Сусе. Ею декорированы дверные порталы, лестницы, бордюры, выложены стены мечетей. В популярной литературе принято указывать, что традиции гончарного дела в Набёле были заложены бежавшими от испанской реконкисты выходцами из Андалусии в </w:t>
      </w:r>
      <w:r>
        <w:rPr>
          <w:rFonts w:cs="Garamond" w:ascii="Garamond" w:hAnsi="Garamond"/>
          <w:sz w:val="24"/>
          <w:szCs w:val="24"/>
          <w:lang w:val="en-US"/>
        </w:rPr>
        <w:t>XV</w:t>
      </w:r>
      <w:r>
        <w:rPr>
          <w:rFonts w:cs="Garamond" w:ascii="Garamond" w:hAnsi="Garamond"/>
          <w:sz w:val="24"/>
          <w:szCs w:val="24"/>
        </w:rPr>
        <w:t> в., однако это верно лишь отчасти и касается производства глазурованной и богато декорированной посуды и плитки. Действительно, сходство между посудой и плиточным декором магрибинских дворцов Туниса, Феса, Марракеша и андалусских Гранады и Севильи весьма наглядно и не оставляет места для сомнений. Что касается собственно гончарных традиций, то они древнее почти на две тысячи лет.</w:t>
      </w:r>
      <w:r>
        <mc:AlternateContent>
          <mc:Choice Requires="wps">
            <w:drawing>
              <wp:anchor behindDoc="0" distT="0" distB="0" distL="114300" distR="0" simplePos="0" locked="0" layoutInCell="1" allowOverlap="1" relativeHeight="2">
                <wp:simplePos x="0" y="0"/>
                <wp:positionH relativeFrom="margin">
                  <wp:align>right</wp:align>
                </wp:positionH>
                <wp:positionV relativeFrom="page">
                  <wp:posOffset>5521325</wp:posOffset>
                </wp:positionV>
                <wp:extent cx="2065020" cy="3188335"/>
                <wp:effectExtent l="0" t="0" r="0" b="0"/>
                <wp:wrapSquare wrapText="bothSides"/>
                <wp:docPr id="2" name="Врезка1"/>
                <a:graphic xmlns:a="http://schemas.openxmlformats.org/drawingml/2006/main">
                  <a:graphicData uri="http://schemas.microsoft.com/office/word/2010/wordprocessingShape">
                    <wps:wsp>
                      <wps:cNvSpPr txBox="1"/>
                      <wps:spPr>
                        <a:xfrm>
                          <a:off x="0" y="0"/>
                          <a:ext cx="2065020" cy="3188335"/>
                        </a:xfrm>
                        <a:prstGeom prst="rect"/>
                        <a:solidFill>
                          <a:srgbClr val="FFFFFF">
                            <a:alpha val="0"/>
                          </a:srgbClr>
                        </a:solidFill>
                      </wps:spPr>
                      <wps:txbx>
                        <w:txbxContent>
                          <w:tbl>
                            <w:tblPr>
                              <w:tblW w:w="3252" w:type="dxa"/>
                              <w:jc w:val="start"/>
                              <w:tblInd w:w="0" w:type="dxa"/>
                              <w:tblBorders/>
                              <w:tblCellMar>
                                <w:top w:w="0" w:type="dxa"/>
                                <w:start w:w="108" w:type="dxa"/>
                                <w:bottom w:w="0" w:type="dxa"/>
                                <w:end w:w="108" w:type="dxa"/>
                              </w:tblCellMar>
                            </w:tblPr>
                            <w:tblGrid>
                              <w:gridCol w:w="3252"/>
                            </w:tblGrid>
                            <w:tr>
                              <w:trPr/>
                              <w:tc>
                                <w:tcPr>
                                  <w:tcW w:w="3252" w:type="dxa"/>
                                  <w:tcBorders/>
                                  <w:shd w:fill="auto" w:val="clear"/>
                                </w:tcPr>
                                <w:p>
                                  <w:pPr>
                                    <w:pStyle w:val="Normal"/>
                                    <w:ind w:end="-31" w:hanging="0"/>
                                    <w:jc w:val="both"/>
                                    <w:rPr>
                                      <w:rFonts w:ascii="Garamond" w:hAnsi="Garamond" w:cs="Garamond"/>
                                      <w:sz w:val="24"/>
                                      <w:szCs w:val="24"/>
                                    </w:rPr>
                                  </w:pPr>
                                  <w:r>
                                    <w:rPr>
                                      <w:rFonts w:cs="Garamond" w:ascii="Garamond" w:hAnsi="Garamond"/>
                                      <w:sz w:val="24"/>
                                      <w:szCs w:val="24"/>
                                    </w:rPr>
                                    <w:drawing>
                                      <wp:inline distT="0" distB="0" distL="0" distR="0">
                                        <wp:extent cx="1946910" cy="2538095"/>
                                        <wp:effectExtent l="0" t="0" r="0" b="0"/>
                                        <wp:docPr id="3" name="Изображение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1" descr="" title=""/>
                                                <pic:cNvPicPr>
                                                  <a:picLocks noChangeAspect="1" noChangeArrowheads="1"/>
                                                </pic:cNvPicPr>
                                              </pic:nvPicPr>
                                              <pic:blipFill>
                                                <a:blip r:embed="rId3"/>
                                                <a:srcRect l="-2" t="-3093" r="-2" b="-1"/>
                                                <a:stretch>
                                                  <a:fillRect/>
                                                </a:stretch>
                                              </pic:blipFill>
                                              <pic:spPr bwMode="auto">
                                                <a:xfrm>
                                                  <a:off x="0" y="0"/>
                                                  <a:ext cx="1946910" cy="2538095"/>
                                                </a:xfrm>
                                                <a:prstGeom prst="rect">
                                                  <a:avLst/>
                                                </a:prstGeom>
                                              </pic:spPr>
                                            </pic:pic>
                                          </a:graphicData>
                                        </a:graphic>
                                      </wp:inline>
                                    </w:drawing>
                                  </w:r>
                                </w:p>
                                <w:p>
                                  <w:pPr>
                                    <w:pStyle w:val="Normal"/>
                                    <w:ind w:end="-31" w:hanging="0"/>
                                    <w:jc w:val="center"/>
                                    <w:rPr/>
                                  </w:pPr>
                                  <w:r>
                                    <w:rPr>
                                      <w:rFonts w:cs="Garamond" w:ascii="Garamond" w:hAnsi="Garamond"/>
                                      <w:i/>
                                      <w:sz w:val="22"/>
                                      <w:szCs w:val="22"/>
                                    </w:rPr>
                                    <w:t>Илл. 1</w:t>
                                  </w:r>
                                  <w:r>
                                    <w:rPr>
                                      <w:rFonts w:cs="Garamond" w:ascii="Garamond" w:hAnsi="Garamond"/>
                                      <w:sz w:val="22"/>
                                      <w:szCs w:val="22"/>
                                    </w:rPr>
                                    <w:t>. Символ Набёля — кувшин-</w:t>
                                  </w:r>
                                  <w:r>
                                    <w:rPr>
                                      <w:rFonts w:cs="Garamond" w:ascii="Garamond" w:hAnsi="Garamond"/>
                                      <w:i/>
                                      <w:sz w:val="22"/>
                                      <w:szCs w:val="22"/>
                                    </w:rPr>
                                    <w:t>зир</w:t>
                                  </w:r>
                                  <w:r>
                                    <w:rPr>
                                      <w:rFonts w:cs="Garamond" w:ascii="Garamond" w:hAnsi="Garamond"/>
                                      <w:sz w:val="22"/>
                                      <w:szCs w:val="22"/>
                                    </w:rPr>
                                    <w:t xml:space="preserve"> на центральной площади, 2008 г. (</w:t>
                                  </w:r>
                                  <w:r>
                                    <w:rPr>
                                      <w:rFonts w:cs="Garamond" w:ascii="Garamond" w:hAnsi="Garamond"/>
                                      <w:i/>
                                      <w:sz w:val="22"/>
                                      <w:szCs w:val="22"/>
                                    </w:rPr>
                                    <w:t>фото автора</w:t>
                                  </w:r>
                                  <w:r>
                                    <w:rPr>
                                      <w:rFonts w:cs="Garamond" w:ascii="Garamond" w:hAnsi="Garamond"/>
                                      <w:sz w:val="22"/>
                                      <w:szCs w:val="22"/>
                                    </w:rPr>
                                    <w:t>)</w:t>
                                  </w:r>
                                </w:p>
                              </w:tc>
                            </w:tr>
                          </w:tbl>
                        </w:txbxContent>
                      </wps:txbx>
                      <wps:bodyPr anchor="t" lIns="0" tIns="0" rIns="0" bIns="0">
                        <a:noAutofit/>
                      </wps:bodyPr>
                    </wps:wsp>
                  </a:graphicData>
                </a:graphic>
              </wp:anchor>
            </w:drawing>
          </mc:Choice>
          <mc:Fallback>
            <w:pict>
              <v:rect fillcolor="#FFFFFF" style="position:absolute;rotation:0;width:162.6pt;height:251.05pt;mso-wrap-distance-left:9pt;mso-wrap-distance-right:0pt;mso-wrap-distance-top:0pt;mso-wrap-distance-bottom:0pt;margin-top:434.75pt;mso-position-vertical-relative:page;margin-left:276.85pt;mso-position-horizontal:right;mso-position-horizontal-relative:margin">
                <v:fill opacity="0f"/>
                <v:textbox>
                  <w:txbxContent>
                    <w:tbl>
                      <w:tblPr>
                        <w:tblW w:w="3252" w:type="dxa"/>
                        <w:jc w:val="start"/>
                        <w:tblInd w:w="0" w:type="dxa"/>
                        <w:tblBorders/>
                        <w:tblCellMar>
                          <w:top w:w="0" w:type="dxa"/>
                          <w:start w:w="108" w:type="dxa"/>
                          <w:bottom w:w="0" w:type="dxa"/>
                          <w:end w:w="108" w:type="dxa"/>
                        </w:tblCellMar>
                      </w:tblPr>
                      <w:tblGrid>
                        <w:gridCol w:w="3252"/>
                      </w:tblGrid>
                      <w:tr>
                        <w:trPr/>
                        <w:tc>
                          <w:tcPr>
                            <w:tcW w:w="3252" w:type="dxa"/>
                            <w:tcBorders/>
                            <w:shd w:fill="auto" w:val="clear"/>
                          </w:tcPr>
                          <w:p>
                            <w:pPr>
                              <w:pStyle w:val="Normal"/>
                              <w:ind w:end="-31" w:hanging="0"/>
                              <w:jc w:val="both"/>
                              <w:rPr>
                                <w:rFonts w:ascii="Garamond" w:hAnsi="Garamond" w:cs="Garamond"/>
                                <w:sz w:val="24"/>
                                <w:szCs w:val="24"/>
                              </w:rPr>
                            </w:pPr>
                            <w:r>
                              <w:rPr>
                                <w:rFonts w:cs="Garamond" w:ascii="Garamond" w:hAnsi="Garamond"/>
                                <w:sz w:val="24"/>
                                <w:szCs w:val="24"/>
                              </w:rPr>
                              <w:drawing>
                                <wp:inline distT="0" distB="0" distL="0" distR="0">
                                  <wp:extent cx="1946910" cy="2538095"/>
                                  <wp:effectExtent l="0" t="0" r="0" b="0"/>
                                  <wp:docPr id="4" name="Изображение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1" descr="" title=""/>
                                          <pic:cNvPicPr>
                                            <a:picLocks noChangeAspect="1" noChangeArrowheads="1"/>
                                          </pic:cNvPicPr>
                                        </pic:nvPicPr>
                                        <pic:blipFill>
                                          <a:blip r:embed="rId3"/>
                                          <a:srcRect l="-2" t="-3093" r="-2" b="-1"/>
                                          <a:stretch>
                                            <a:fillRect/>
                                          </a:stretch>
                                        </pic:blipFill>
                                        <pic:spPr bwMode="auto">
                                          <a:xfrm>
                                            <a:off x="0" y="0"/>
                                            <a:ext cx="1946910" cy="2538095"/>
                                          </a:xfrm>
                                          <a:prstGeom prst="rect">
                                            <a:avLst/>
                                          </a:prstGeom>
                                        </pic:spPr>
                                      </pic:pic>
                                    </a:graphicData>
                                  </a:graphic>
                                </wp:inline>
                              </w:drawing>
                            </w:r>
                          </w:p>
                          <w:p>
                            <w:pPr>
                              <w:pStyle w:val="Normal"/>
                              <w:ind w:end="-31" w:hanging="0"/>
                              <w:jc w:val="center"/>
                              <w:rPr/>
                            </w:pPr>
                            <w:r>
                              <w:rPr>
                                <w:rFonts w:cs="Garamond" w:ascii="Garamond" w:hAnsi="Garamond"/>
                                <w:i/>
                                <w:sz w:val="22"/>
                                <w:szCs w:val="22"/>
                              </w:rPr>
                              <w:t>Илл. 1</w:t>
                            </w:r>
                            <w:r>
                              <w:rPr>
                                <w:rFonts w:cs="Garamond" w:ascii="Garamond" w:hAnsi="Garamond"/>
                                <w:sz w:val="22"/>
                                <w:szCs w:val="22"/>
                              </w:rPr>
                              <w:t>. Символ Набёля — кувшин-</w:t>
                            </w:r>
                            <w:r>
                              <w:rPr>
                                <w:rFonts w:cs="Garamond" w:ascii="Garamond" w:hAnsi="Garamond"/>
                                <w:i/>
                                <w:sz w:val="22"/>
                                <w:szCs w:val="22"/>
                              </w:rPr>
                              <w:t>зир</w:t>
                            </w:r>
                            <w:r>
                              <w:rPr>
                                <w:rFonts w:cs="Garamond" w:ascii="Garamond" w:hAnsi="Garamond"/>
                                <w:sz w:val="22"/>
                                <w:szCs w:val="22"/>
                              </w:rPr>
                              <w:t xml:space="preserve"> на центральной площади, 2008 г. (</w:t>
                            </w:r>
                            <w:r>
                              <w:rPr>
                                <w:rFonts w:cs="Garamond" w:ascii="Garamond" w:hAnsi="Garamond"/>
                                <w:i/>
                                <w:sz w:val="22"/>
                                <w:szCs w:val="22"/>
                              </w:rPr>
                              <w:t>фото автора</w:t>
                            </w:r>
                            <w:r>
                              <w:rPr>
                                <w:rFonts w:cs="Garamond" w:ascii="Garamond" w:hAnsi="Garamond"/>
                                <w:sz w:val="22"/>
                                <w:szCs w:val="22"/>
                              </w:rPr>
                              <w:t>)</w:t>
                            </w:r>
                          </w:p>
                        </w:tc>
                      </w:tr>
                    </w:tbl>
                  </w:txbxContent>
                </v:textbox>
                <w10:wrap type="square"/>
              </v:rect>
            </w:pict>
          </mc:Fallback>
        </mc:AlternateContent>
      </w:r>
    </w:p>
    <w:p>
      <w:pPr>
        <w:pStyle w:val="Normal"/>
        <w:ind w:end="-31" w:firstLine="708"/>
        <w:jc w:val="both"/>
        <w:rPr/>
      </w:pPr>
      <w:r>
        <w:rPr>
          <w:rFonts w:cs="Garamond" w:ascii="Garamond" w:hAnsi="Garamond"/>
          <w:sz w:val="24"/>
          <w:szCs w:val="24"/>
        </w:rPr>
        <w:t>В 146 г. до н. э. в результате трех Пунических войн римлянам удалось покорить финикийскую колонию с центром в Карфагене, включив ее в провинцию Проконсульская Африка (</w:t>
      </w:r>
      <w:r>
        <w:rPr>
          <w:rFonts w:cs="Garamond" w:ascii="Garamond" w:hAnsi="Garamond"/>
          <w:i/>
          <w:iCs/>
          <w:sz w:val="24"/>
          <w:szCs w:val="24"/>
          <w:lang w:val="en-US"/>
        </w:rPr>
        <w:t>Africa</w:t>
      </w:r>
      <w:r>
        <w:rPr>
          <w:rFonts w:cs="Garamond" w:ascii="Garamond" w:hAnsi="Garamond"/>
          <w:i/>
          <w:iCs/>
          <w:sz w:val="24"/>
          <w:szCs w:val="24"/>
        </w:rPr>
        <w:t xml:space="preserve"> </w:t>
      </w:r>
      <w:r>
        <w:rPr>
          <w:rFonts w:cs="Garamond" w:ascii="Garamond" w:hAnsi="Garamond"/>
          <w:i/>
          <w:iCs/>
          <w:sz w:val="24"/>
          <w:szCs w:val="24"/>
          <w:lang w:val="en-US"/>
        </w:rPr>
        <w:t>Proconsularis</w:t>
      </w:r>
      <w:r>
        <w:rPr>
          <w:rFonts w:cs="Garamond" w:ascii="Garamond" w:hAnsi="Garamond"/>
          <w:iCs/>
          <w:sz w:val="24"/>
          <w:szCs w:val="24"/>
        </w:rPr>
        <w:t>)</w:t>
      </w:r>
      <w:r>
        <w:rPr>
          <w:rFonts w:cs="Garamond" w:ascii="Garamond" w:hAnsi="Garamond"/>
          <w:sz w:val="24"/>
          <w:szCs w:val="24"/>
        </w:rPr>
        <w:t xml:space="preserve">, после чего они стали присоединять к своей территории прибрежные зоны современного Туниса. В результате древнее поселение Неаполь («Новый город»), заложенное еще греческими торговцами в конце </w:t>
      </w:r>
      <w:r>
        <w:rPr>
          <w:rFonts w:cs="Garamond" w:ascii="Garamond" w:hAnsi="Garamond"/>
          <w:sz w:val="24"/>
          <w:szCs w:val="24"/>
          <w:lang w:val="en-US"/>
        </w:rPr>
        <w:t>V</w:t>
      </w:r>
      <w:r>
        <w:rPr>
          <w:rFonts w:cs="Garamond" w:ascii="Garamond" w:hAnsi="Garamond"/>
          <w:sz w:val="24"/>
          <w:szCs w:val="24"/>
        </w:rPr>
        <w:t xml:space="preserve"> в. до н. э., было превращено в крупный городской центр с виллами и мастерскими, который стал официально именоваться </w:t>
      </w:r>
      <w:r>
        <w:rPr>
          <w:rFonts w:cs="Garamond" w:ascii="Garamond" w:hAnsi="Garamond"/>
          <w:i/>
          <w:sz w:val="24"/>
          <w:szCs w:val="24"/>
          <w:lang w:val="en-US"/>
        </w:rPr>
        <w:t>Colonia</w:t>
      </w:r>
      <w:r>
        <w:rPr>
          <w:rFonts w:cs="Garamond" w:ascii="Garamond" w:hAnsi="Garamond"/>
          <w:i/>
          <w:sz w:val="24"/>
          <w:szCs w:val="24"/>
        </w:rPr>
        <w:t xml:space="preserve"> </w:t>
      </w:r>
      <w:r>
        <w:rPr>
          <w:rFonts w:cs="Garamond" w:ascii="Garamond" w:hAnsi="Garamond"/>
          <w:i/>
          <w:sz w:val="24"/>
          <w:szCs w:val="24"/>
          <w:lang w:val="en-US"/>
        </w:rPr>
        <w:t>Iulia</w:t>
      </w:r>
      <w:r>
        <w:rPr>
          <w:rFonts w:cs="Garamond" w:ascii="Garamond" w:hAnsi="Garamond"/>
          <w:i/>
          <w:sz w:val="24"/>
          <w:szCs w:val="24"/>
        </w:rPr>
        <w:t xml:space="preserve"> </w:t>
      </w:r>
      <w:r>
        <w:rPr>
          <w:rFonts w:cs="Garamond" w:ascii="Garamond" w:hAnsi="Garamond"/>
          <w:i/>
          <w:sz w:val="24"/>
          <w:szCs w:val="24"/>
          <w:lang w:val="en-US"/>
        </w:rPr>
        <w:t>Neapolis</w:t>
      </w:r>
      <w:r>
        <w:rPr>
          <w:rFonts w:cs="Garamond" w:ascii="Garamond" w:hAnsi="Garamond"/>
          <w:sz w:val="24"/>
          <w:szCs w:val="24"/>
        </w:rPr>
        <w:t xml:space="preserve">. После арабского завоевания карфагенской области в конце </w:t>
      </w:r>
      <w:r>
        <w:rPr>
          <w:rFonts w:cs="Garamond" w:ascii="Garamond" w:hAnsi="Garamond"/>
          <w:sz w:val="24"/>
          <w:szCs w:val="24"/>
          <w:lang w:val="en-US"/>
        </w:rPr>
        <w:t>VII</w:t>
      </w:r>
      <w:r>
        <w:rPr>
          <w:rFonts w:cs="Garamond" w:ascii="Garamond" w:hAnsi="Garamond"/>
          <w:sz w:val="24"/>
          <w:szCs w:val="24"/>
        </w:rPr>
        <w:t> в. н. э. Неаполь превратился в Набёль, в названии которого до сих пор угадывается древнегреческое именование города.</w:t>
      </w:r>
    </w:p>
    <w:p>
      <w:pPr>
        <w:pStyle w:val="Normal"/>
        <w:ind w:end="-31" w:hanging="0"/>
        <w:jc w:val="both"/>
        <w:rPr>
          <w:rFonts w:ascii="Garamond" w:hAnsi="Garamond" w:cs="Garamond"/>
          <w:sz w:val="16"/>
          <w:szCs w:val="16"/>
        </w:rPr>
      </w:pPr>
      <w:r>
        <w:rPr>
          <w:rFonts w:cs="Garamond" w:ascii="Garamond" w:hAnsi="Garamond"/>
          <w:sz w:val="16"/>
          <w:szCs w:val="16"/>
        </w:rPr>
      </w:r>
    </w:p>
    <w:tbl>
      <w:tblPr>
        <w:tblW w:w="8892" w:type="dxa"/>
        <w:jc w:val="start"/>
        <w:tblInd w:w="-108" w:type="dxa"/>
        <w:tblBorders/>
        <w:tblCellMar>
          <w:top w:w="0" w:type="dxa"/>
          <w:start w:w="108" w:type="dxa"/>
          <w:bottom w:w="0" w:type="dxa"/>
          <w:end w:w="108" w:type="dxa"/>
        </w:tblCellMar>
      </w:tblPr>
      <w:tblGrid>
        <w:gridCol w:w="4428"/>
        <w:gridCol w:w="977"/>
        <w:gridCol w:w="3487"/>
      </w:tblGrid>
      <w:tr>
        <w:trPr/>
        <w:tc>
          <w:tcPr>
            <w:tcW w:w="8892" w:type="dxa"/>
            <w:gridSpan w:val="3"/>
            <w:tcBorders/>
            <w:shd w:fill="auto" w:val="clear"/>
          </w:tcPr>
          <w:p>
            <w:pPr>
              <w:pStyle w:val="Normal"/>
              <w:ind w:end="-31" w:hanging="0"/>
              <w:jc w:val="center"/>
              <w:rPr>
                <w:rFonts w:ascii="Garamond" w:hAnsi="Garamond" w:cs="Garamond"/>
                <w:sz w:val="24"/>
                <w:szCs w:val="24"/>
              </w:rPr>
            </w:pPr>
            <w:r>
              <w:rPr>
                <w:rFonts w:cs="Garamond" w:ascii="Garamond" w:hAnsi="Garamond"/>
                <w:sz w:val="24"/>
                <w:szCs w:val="24"/>
              </w:rPr>
              <w:drawing>
                <wp:inline distT="0" distB="0" distL="0" distR="0">
                  <wp:extent cx="5377180" cy="3709670"/>
                  <wp:effectExtent l="0" t="0" r="0" b="0"/>
                  <wp:docPr id="5" name="Изображение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 descr="" title=""/>
                          <pic:cNvPicPr>
                            <a:picLocks noChangeAspect="1" noChangeArrowheads="1"/>
                          </pic:cNvPicPr>
                        </pic:nvPicPr>
                        <pic:blipFill>
                          <a:blip r:embed="rId4"/>
                          <a:srcRect l="-1" t="594" r="-1" b="-1"/>
                          <a:stretch>
                            <a:fillRect/>
                          </a:stretch>
                        </pic:blipFill>
                        <pic:spPr bwMode="auto">
                          <a:xfrm>
                            <a:off x="0" y="0"/>
                            <a:ext cx="5377180" cy="3709670"/>
                          </a:xfrm>
                          <a:prstGeom prst="rect">
                            <a:avLst/>
                          </a:prstGeom>
                        </pic:spPr>
                      </pic:pic>
                    </a:graphicData>
                  </a:graphic>
                </wp:inline>
              </w:drawing>
            </w:r>
          </w:p>
          <w:p>
            <w:pPr>
              <w:pStyle w:val="Normal"/>
              <w:ind w:end="-31" w:hanging="0"/>
              <w:jc w:val="both"/>
              <w:rPr>
                <w:rFonts w:ascii="Garamond" w:hAnsi="Garamond" w:cs="Garamond"/>
                <w:sz w:val="8"/>
                <w:szCs w:val="8"/>
              </w:rPr>
            </w:pPr>
            <w:r>
              <w:rPr>
                <w:rFonts w:cs="Garamond" w:ascii="Garamond" w:hAnsi="Garamond"/>
                <w:sz w:val="8"/>
                <w:szCs w:val="8"/>
              </w:rPr>
            </w:r>
          </w:p>
        </w:tc>
      </w:tr>
      <w:tr>
        <w:trPr/>
        <w:tc>
          <w:tcPr>
            <w:tcW w:w="4428" w:type="dxa"/>
            <w:tcBorders/>
            <w:shd w:fill="auto" w:val="clear"/>
          </w:tcPr>
          <w:p>
            <w:pPr>
              <w:pStyle w:val="Normal"/>
              <w:ind w:end="-31" w:hanging="0"/>
              <w:jc w:val="end"/>
              <w:rPr>
                <w:rFonts w:ascii="Garamond" w:hAnsi="Garamond" w:cs="Garamond"/>
                <w:sz w:val="22"/>
                <w:szCs w:val="22"/>
              </w:rPr>
            </w:pPr>
            <w:r>
              <w:rPr>
                <w:rFonts w:cs="Garamond" w:ascii="Garamond" w:hAnsi="Garamond"/>
                <w:sz w:val="22"/>
                <w:szCs w:val="22"/>
              </w:rPr>
              <w:drawing>
                <wp:inline distT="0" distB="0" distL="0" distR="0">
                  <wp:extent cx="2630170" cy="1751965"/>
                  <wp:effectExtent l="0" t="0" r="0" b="0"/>
                  <wp:docPr id="6" name="Изображение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3" descr="" title=""/>
                          <pic:cNvPicPr>
                            <a:picLocks noChangeAspect="1" noChangeArrowheads="1"/>
                          </pic:cNvPicPr>
                        </pic:nvPicPr>
                        <pic:blipFill>
                          <a:blip r:embed="rId5"/>
                          <a:srcRect l="-1" t="-1" r="-1" b="-1"/>
                          <a:stretch>
                            <a:fillRect/>
                          </a:stretch>
                        </pic:blipFill>
                        <pic:spPr bwMode="auto">
                          <a:xfrm>
                            <a:off x="0" y="0"/>
                            <a:ext cx="2630170" cy="1751965"/>
                          </a:xfrm>
                          <a:prstGeom prst="rect">
                            <a:avLst/>
                          </a:prstGeom>
                        </pic:spPr>
                      </pic:pic>
                    </a:graphicData>
                  </a:graphic>
                </wp:inline>
              </w:drawing>
            </w:r>
          </w:p>
        </w:tc>
        <w:tc>
          <w:tcPr>
            <w:tcW w:w="4464" w:type="dxa"/>
            <w:gridSpan w:val="2"/>
            <w:tcBorders/>
            <w:shd w:fill="auto" w:val="clear"/>
          </w:tcPr>
          <w:p>
            <w:pPr>
              <w:pStyle w:val="Normal"/>
              <w:ind w:end="-31" w:hanging="108"/>
              <w:rPr>
                <w:rFonts w:ascii="Garamond" w:hAnsi="Garamond" w:cs="Garamond"/>
                <w:sz w:val="22"/>
                <w:szCs w:val="22"/>
              </w:rPr>
            </w:pPr>
            <w:r>
              <w:rPr>
                <w:rFonts w:eastAsia="Garamond" w:cs="Garamond" w:ascii="Garamond" w:hAnsi="Garamond"/>
                <w:sz w:val="22"/>
                <w:szCs w:val="22"/>
              </w:rPr>
              <w:t xml:space="preserve"> </w:t>
            </w:r>
            <w:r>
              <w:rPr>
                <w:rFonts w:cs="Garamond" w:ascii="Garamond" w:hAnsi="Garamond"/>
                <w:sz w:val="22"/>
                <w:szCs w:val="22"/>
              </w:rPr>
              <w:drawing>
                <wp:inline distT="0" distB="0" distL="0" distR="0">
                  <wp:extent cx="2678430" cy="1752600"/>
                  <wp:effectExtent l="0" t="0" r="0" b="0"/>
                  <wp:docPr id="7" name="Изображение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4" descr="" title=""/>
                          <pic:cNvPicPr>
                            <a:picLocks noChangeAspect="1" noChangeArrowheads="1"/>
                          </pic:cNvPicPr>
                        </pic:nvPicPr>
                        <pic:blipFill>
                          <a:blip r:embed="rId6"/>
                          <a:srcRect l="0" t="2184" r="0" b="-1"/>
                          <a:stretch>
                            <a:fillRect/>
                          </a:stretch>
                        </pic:blipFill>
                        <pic:spPr bwMode="auto">
                          <a:xfrm>
                            <a:off x="0" y="0"/>
                            <a:ext cx="2678430" cy="1752600"/>
                          </a:xfrm>
                          <a:prstGeom prst="rect">
                            <a:avLst/>
                          </a:prstGeom>
                        </pic:spPr>
                      </pic:pic>
                    </a:graphicData>
                  </a:graphic>
                </wp:inline>
              </w:drawing>
            </w:r>
          </w:p>
        </w:tc>
      </w:tr>
      <w:tr>
        <w:trPr/>
        <w:tc>
          <w:tcPr>
            <w:tcW w:w="8892" w:type="dxa"/>
            <w:gridSpan w:val="3"/>
            <w:tcBorders/>
            <w:shd w:fill="auto" w:val="clear"/>
          </w:tcPr>
          <w:p>
            <w:pPr>
              <w:pStyle w:val="Normal"/>
              <w:ind w:end="-31" w:hanging="0"/>
              <w:jc w:val="center"/>
              <w:rPr>
                <w:rFonts w:ascii="Garamond" w:hAnsi="Garamond" w:cs="Garamond"/>
                <w:sz w:val="22"/>
                <w:szCs w:val="22"/>
              </w:rPr>
            </w:pPr>
            <w:r>
              <w:rPr>
                <w:rFonts w:cs="Garamond" w:ascii="Garamond" w:hAnsi="Garamond"/>
                <w:i/>
                <w:sz w:val="22"/>
                <w:szCs w:val="22"/>
              </w:rPr>
              <w:t>Илл. 2</w:t>
            </w:r>
            <w:r>
              <w:rPr>
                <w:rFonts w:cs="Garamond" w:ascii="Garamond" w:hAnsi="Garamond"/>
                <w:sz w:val="22"/>
                <w:szCs w:val="22"/>
              </w:rPr>
              <w:t>. Плиточный декор в лавках и на улицах Набёля, 2011 г. (</w:t>
            </w:r>
            <w:r>
              <w:rPr>
                <w:rFonts w:cs="Garamond" w:ascii="Garamond" w:hAnsi="Garamond"/>
                <w:i/>
                <w:sz w:val="22"/>
                <w:szCs w:val="22"/>
              </w:rPr>
              <w:t>фото автора</w:t>
            </w:r>
            <w:r>
              <w:rPr>
                <w:rFonts w:cs="Garamond" w:ascii="Garamond" w:hAnsi="Garamond"/>
                <w:sz w:val="22"/>
                <w:szCs w:val="22"/>
              </w:rPr>
              <w:t>)</w:t>
            </w:r>
          </w:p>
        </w:tc>
      </w:tr>
      <w:tr>
        <w:trPr/>
        <w:tc>
          <w:tcPr>
            <w:tcW w:w="5405" w:type="dxa"/>
            <w:gridSpan w:val="2"/>
            <w:tcBorders/>
            <w:shd w:fill="auto" w:val="clear"/>
          </w:tcPr>
          <w:p>
            <w:pPr>
              <w:pStyle w:val="Normal"/>
              <w:snapToGrid w:val="false"/>
              <w:rPr>
                <w:rFonts w:ascii="Garamond" w:hAnsi="Garamond" w:cs="Garamond"/>
                <w:sz w:val="24"/>
                <w:szCs w:val="24"/>
              </w:rPr>
            </w:pPr>
            <w:r>
              <w:rPr>
                <w:rFonts w:cs="Garamond" w:ascii="Garamond" w:hAnsi="Garamond"/>
                <w:sz w:val="24"/>
                <w:szCs w:val="24"/>
              </w:rPr>
            </w:r>
          </w:p>
        </w:tc>
        <w:tc>
          <w:tcPr>
            <w:tcW w:w="3487" w:type="dxa"/>
            <w:tcBorders/>
            <w:shd w:fill="auto" w:val="clear"/>
            <w:tcMar>
              <w:start w:w="0" w:type="dxa"/>
              <w:end w:w="0" w:type="dxa"/>
            </w:tcMar>
          </w:tcPr>
          <w:p>
            <w:pPr>
              <w:pStyle w:val="Normal"/>
              <w:rPr/>
            </w:pPr>
            <w:r>
              <w:rPr/>
            </w:r>
          </w:p>
        </w:tc>
      </w:tr>
    </w:tbl>
    <w:p>
      <w:pPr>
        <w:pStyle w:val="Normal"/>
        <w:ind w:end="-31" w:firstLine="708"/>
        <w:jc w:val="both"/>
        <w:rPr/>
      </w:pPr>
      <w:r>
        <w:rPr>
          <w:rFonts w:cs="Garamond" w:ascii="Garamond" w:hAnsi="Garamond"/>
          <w:sz w:val="24"/>
          <w:szCs w:val="24"/>
        </w:rPr>
        <w:t>Видимо, именно римляне обнаружили рядом с Неаполем богатые залежи мергельных глин, из которых можно было производить различные гончарные изделия, хотя финикийские города этой области, естественно, обладали своими керамическими мастерскими, о чем свидетельствует обнаружение в ходе археологических работ французской экспедиции печей для обжига и гончарного круга на окраине финикийского города Керкуан (</w:t>
      </w:r>
      <w:r>
        <w:rPr>
          <w:rFonts w:cs="Garamond" w:ascii="Garamond" w:hAnsi="Garamond"/>
          <w:i/>
          <w:sz w:val="24"/>
          <w:szCs w:val="24"/>
        </w:rPr>
        <w:t>илл. 3</w:t>
      </w:r>
      <w:r>
        <w:rPr>
          <w:rFonts w:cs="Garamond" w:ascii="Garamond" w:hAnsi="Garamond"/>
          <w:sz w:val="24"/>
          <w:szCs w:val="24"/>
        </w:rPr>
        <w:t xml:space="preserve">) </w:t>
      </w:r>
      <w:r>
        <w:rPr>
          <w:rFonts w:cs="Garamond" w:ascii="Garamond" w:hAnsi="Garamond"/>
          <w:sz w:val="24"/>
          <w:szCs w:val="24"/>
          <w:lang w:val="en-US"/>
        </w:rPr>
        <w:t>VI</w:t>
      </w:r>
      <w:r>
        <w:rPr>
          <w:rFonts w:cs="Garamond" w:ascii="Garamond" w:hAnsi="Garamond"/>
          <w:sz w:val="24"/>
          <w:szCs w:val="24"/>
        </w:rPr>
        <w:t xml:space="preserve"> — середины </w:t>
      </w:r>
      <w:r>
        <w:rPr>
          <w:rFonts w:cs="Garamond" w:ascii="Garamond" w:hAnsi="Garamond"/>
          <w:sz w:val="24"/>
          <w:szCs w:val="24"/>
          <w:lang w:val="en-US"/>
        </w:rPr>
        <w:t>III</w:t>
      </w:r>
      <w:r>
        <w:rPr>
          <w:rFonts w:cs="Garamond" w:ascii="Garamond" w:hAnsi="Garamond"/>
          <w:sz w:val="24"/>
          <w:szCs w:val="24"/>
        </w:rPr>
        <w:t xml:space="preserve"> вв. до н. э. Изготовление керамических сосудов в Неаполе в римское и византийское время (середина </w:t>
      </w:r>
      <w:r>
        <w:rPr>
          <w:rFonts w:cs="Garamond" w:ascii="Garamond" w:hAnsi="Garamond"/>
          <w:sz w:val="24"/>
          <w:szCs w:val="24"/>
          <w:lang w:val="en-US"/>
        </w:rPr>
        <w:t>II</w:t>
      </w:r>
      <w:r>
        <w:rPr>
          <w:rFonts w:cs="Garamond" w:ascii="Garamond" w:hAnsi="Garamond"/>
          <w:sz w:val="24"/>
          <w:szCs w:val="24"/>
        </w:rPr>
        <w:t xml:space="preserve"> в. до н. э. — </w:t>
      </w:r>
      <w:r>
        <w:rPr>
          <w:rFonts w:cs="Garamond" w:ascii="Garamond" w:hAnsi="Garamond"/>
          <w:sz w:val="24"/>
          <w:szCs w:val="24"/>
          <w:lang w:val="en-US"/>
        </w:rPr>
        <w:t>VII</w:t>
      </w:r>
      <w:r>
        <w:rPr>
          <w:rFonts w:cs="Garamond" w:ascii="Garamond" w:hAnsi="Garamond"/>
          <w:sz w:val="24"/>
          <w:szCs w:val="24"/>
        </w:rPr>
        <w:t> в. н. э.) было подчинено бытовым нуждам жителей города, а также требованиям торговли, т. к. в приморском городе располагались рыбозасолочные мастерские (</w:t>
      </w:r>
      <w:r>
        <w:rPr>
          <w:rFonts w:cs="Garamond" w:ascii="Garamond" w:hAnsi="Garamond"/>
          <w:i/>
          <w:sz w:val="24"/>
          <w:szCs w:val="24"/>
        </w:rPr>
        <w:t>илл. 4</w:t>
      </w:r>
      <w:r>
        <w:rPr>
          <w:rFonts w:cs="Garamond" w:ascii="Garamond" w:hAnsi="Garamond"/>
          <w:sz w:val="24"/>
          <w:szCs w:val="24"/>
        </w:rPr>
        <w:t xml:space="preserve">), чья продукция — соленая рыба (т. н. </w:t>
      </w:r>
      <w:r>
        <w:rPr>
          <w:rFonts w:cs="Garamond" w:ascii="Garamond" w:hAnsi="Garamond"/>
          <w:i/>
          <w:sz w:val="24"/>
          <w:szCs w:val="24"/>
          <w:lang w:val="en-US"/>
        </w:rPr>
        <w:t>salsamenta</w:t>
      </w:r>
      <w:r>
        <w:rPr>
          <w:rFonts w:cs="Garamond" w:ascii="Garamond" w:hAnsi="Garamond"/>
          <w:sz w:val="24"/>
          <w:szCs w:val="24"/>
        </w:rPr>
        <w:t xml:space="preserve">) и соус из ферментированной рыбы </w:t>
      </w:r>
      <w:r>
        <w:rPr>
          <w:rFonts w:cs="Garamond" w:ascii="Garamond" w:hAnsi="Garamond"/>
          <w:i/>
          <w:sz w:val="24"/>
          <w:szCs w:val="24"/>
        </w:rPr>
        <w:t>гарум </w:t>
      </w:r>
      <w:r>
        <w:rPr>
          <w:rFonts w:cs="Garamond" w:ascii="Garamond" w:hAnsi="Garamond"/>
          <w:sz w:val="24"/>
          <w:szCs w:val="24"/>
        </w:rPr>
        <w:t>— использовалась не столько местными жителями, сколько шла на экспорт в Рим и его обширные провинции, и даже за ее пределы, например, в африканское царство Мероэ [</w:t>
      </w:r>
      <w:r>
        <w:rPr>
          <w:rFonts w:cs="Garamond" w:ascii="Garamond" w:hAnsi="Garamond"/>
          <w:bCs/>
          <w:sz w:val="24"/>
          <w:szCs w:val="24"/>
          <w:lang w:val="en-US"/>
        </w:rPr>
        <w:t>Bagi</w:t>
      </w:r>
      <w:r>
        <w:rPr>
          <w:rFonts w:cs="Garamond" w:ascii="Garamond" w:hAnsi="Garamond"/>
          <w:bCs/>
          <w:sz w:val="24"/>
          <w:szCs w:val="24"/>
        </w:rPr>
        <w:t>ń</w:t>
      </w:r>
      <w:r>
        <w:rPr>
          <w:rFonts w:cs="Garamond" w:ascii="Garamond" w:hAnsi="Garamond"/>
          <w:bCs/>
          <w:sz w:val="24"/>
          <w:szCs w:val="24"/>
          <w:lang w:val="en-US"/>
        </w:rPr>
        <w:t>ska</w:t>
      </w:r>
      <w:r>
        <w:rPr>
          <w:rFonts w:cs="Garamond" w:ascii="Garamond" w:hAnsi="Garamond"/>
          <w:bCs/>
          <w:sz w:val="24"/>
          <w:szCs w:val="24"/>
        </w:rPr>
        <w:t xml:space="preserve">, 2005, </w:t>
      </w:r>
      <w:r>
        <w:rPr>
          <w:rFonts w:cs="Garamond" w:ascii="Garamond" w:hAnsi="Garamond"/>
          <w:bCs/>
          <w:sz w:val="24"/>
          <w:szCs w:val="24"/>
          <w:lang w:val="en-US"/>
        </w:rPr>
        <w:t>p</w:t>
      </w:r>
      <w:r>
        <w:rPr>
          <w:rFonts w:cs="Garamond" w:ascii="Garamond" w:hAnsi="Garamond"/>
          <w:bCs/>
          <w:sz w:val="24"/>
          <w:szCs w:val="24"/>
        </w:rPr>
        <w:t>.</w:t>
      </w:r>
      <w:r>
        <w:rPr>
          <w:rFonts w:cs="Garamond" w:ascii="Garamond" w:hAnsi="Garamond"/>
          <w:bCs/>
          <w:sz w:val="24"/>
          <w:szCs w:val="24"/>
          <w:lang w:val="en-US"/>
        </w:rPr>
        <w:t> </w:t>
      </w:r>
      <w:r>
        <w:rPr>
          <w:rFonts w:cs="Garamond" w:ascii="Garamond" w:hAnsi="Garamond"/>
          <w:bCs/>
          <w:sz w:val="24"/>
          <w:szCs w:val="24"/>
        </w:rPr>
        <w:t>30–32</w:t>
      </w:r>
      <w:r>
        <w:rPr>
          <w:rFonts w:cs="Garamond" w:ascii="Garamond" w:hAnsi="Garamond"/>
          <w:sz w:val="24"/>
          <w:szCs w:val="24"/>
        </w:rPr>
        <w:t xml:space="preserve">]. Традиционной тарой для перевозки пищевых продуктов в то время являлись амфоры, поэтому производство таких сосудов для транспортировки продукции рыбозасолочных мастерских было развернуто в Неаполе благодаря наличию гончарного сырья. Амфоры больших размеров и цилиндрической формы тулова (типы </w:t>
      </w:r>
      <w:r>
        <w:rPr>
          <w:rFonts w:cs="Garamond" w:ascii="Garamond" w:hAnsi="Garamond"/>
          <w:i/>
          <w:sz w:val="24"/>
          <w:szCs w:val="24"/>
        </w:rPr>
        <w:t>Africana 1</w:t>
      </w:r>
      <w:r>
        <w:rPr>
          <w:rFonts w:cs="Garamond" w:ascii="Garamond" w:hAnsi="Garamond"/>
          <w:sz w:val="24"/>
          <w:szCs w:val="24"/>
        </w:rPr>
        <w:t xml:space="preserve"> и </w:t>
      </w:r>
      <w:r>
        <w:rPr>
          <w:rFonts w:cs="Garamond" w:ascii="Garamond" w:hAnsi="Garamond"/>
          <w:i/>
          <w:sz w:val="24"/>
          <w:szCs w:val="24"/>
        </w:rPr>
        <w:t>Africana 2</w:t>
      </w:r>
      <w:r>
        <w:rPr>
          <w:rFonts w:cs="Garamond" w:ascii="Garamond" w:hAnsi="Garamond"/>
          <w:sz w:val="24"/>
          <w:szCs w:val="24"/>
        </w:rPr>
        <w:t xml:space="preserve">) применялись для хранения и перевозки соленой рыбы. Многие из них маркировались клеймом </w:t>
      </w:r>
      <w:r>
        <w:rPr>
          <w:rFonts w:cs="Garamond" w:ascii="Garamond" w:hAnsi="Garamond"/>
          <w:sz w:val="24"/>
          <w:szCs w:val="24"/>
          <w:lang w:val="en-US"/>
        </w:rPr>
        <w:t>C</w:t>
      </w:r>
      <w:r>
        <w:rPr>
          <w:rFonts w:cs="Garamond" w:ascii="Garamond" w:hAnsi="Garamond"/>
          <w:sz w:val="24"/>
          <w:szCs w:val="24"/>
        </w:rPr>
        <w:t>.</w:t>
      </w:r>
      <w:r>
        <w:rPr>
          <w:rFonts w:cs="Garamond" w:ascii="Garamond" w:hAnsi="Garamond"/>
          <w:sz w:val="24"/>
          <w:szCs w:val="24"/>
          <w:lang w:val="en-US"/>
        </w:rPr>
        <w:t>I</w:t>
      </w:r>
      <w:r>
        <w:rPr>
          <w:rFonts w:cs="Garamond" w:ascii="Garamond" w:hAnsi="Garamond"/>
          <w:sz w:val="24"/>
          <w:szCs w:val="24"/>
        </w:rPr>
        <w:t>.</w:t>
      </w:r>
      <w:r>
        <w:rPr>
          <w:rFonts w:cs="Garamond" w:ascii="Garamond" w:hAnsi="Garamond"/>
          <w:sz w:val="24"/>
          <w:szCs w:val="24"/>
          <w:lang w:val="en-US"/>
        </w:rPr>
        <w:t>N</w:t>
      </w:r>
      <w:r>
        <w:rPr>
          <w:rFonts w:cs="Garamond" w:ascii="Garamond" w:hAnsi="Garamond"/>
          <w:sz w:val="24"/>
          <w:szCs w:val="24"/>
        </w:rPr>
        <w:t>. (</w:t>
      </w:r>
      <w:r>
        <w:rPr>
          <w:rFonts w:cs="Garamond" w:ascii="Garamond" w:hAnsi="Garamond"/>
          <w:i/>
          <w:sz w:val="24"/>
          <w:szCs w:val="24"/>
          <w:lang w:val="en-US"/>
        </w:rPr>
        <w:t>Colonia</w:t>
      </w:r>
      <w:r>
        <w:rPr>
          <w:rFonts w:cs="Garamond" w:ascii="Garamond" w:hAnsi="Garamond"/>
          <w:i/>
          <w:sz w:val="24"/>
          <w:szCs w:val="24"/>
        </w:rPr>
        <w:t xml:space="preserve"> </w:t>
      </w:r>
      <w:r>
        <w:rPr>
          <w:rFonts w:cs="Garamond" w:ascii="Garamond" w:hAnsi="Garamond"/>
          <w:i/>
          <w:sz w:val="24"/>
          <w:szCs w:val="24"/>
          <w:lang w:val="en-US"/>
        </w:rPr>
        <w:t>Iulia</w:t>
      </w:r>
      <w:r>
        <w:rPr>
          <w:rFonts w:cs="Garamond" w:ascii="Garamond" w:hAnsi="Garamond"/>
          <w:i/>
          <w:sz w:val="24"/>
          <w:szCs w:val="24"/>
        </w:rPr>
        <w:t xml:space="preserve"> </w:t>
      </w:r>
      <w:r>
        <w:rPr>
          <w:rFonts w:cs="Garamond" w:ascii="Garamond" w:hAnsi="Garamond"/>
          <w:i/>
          <w:sz w:val="24"/>
          <w:szCs w:val="24"/>
          <w:lang w:val="en-US"/>
        </w:rPr>
        <w:t>Neapolis</w:t>
      </w:r>
      <w:r>
        <w:rPr>
          <w:rFonts w:cs="Garamond" w:ascii="Garamond" w:hAnsi="Garamond"/>
          <w:sz w:val="24"/>
          <w:szCs w:val="24"/>
        </w:rPr>
        <w:t>) и были найдены, кроме Туниса, на территории современной Франции, в Испании, Греции и Египте [</w:t>
      </w:r>
      <w:r>
        <w:rPr>
          <w:rFonts w:cs="Garamond" w:ascii="Garamond" w:hAnsi="Garamond"/>
          <w:sz w:val="24"/>
          <w:szCs w:val="24"/>
          <w:lang w:val="fr-FR"/>
        </w:rPr>
        <w:t>Bonifay</w:t>
      </w:r>
      <w:r>
        <w:rPr>
          <w:rFonts w:cs="Garamond" w:ascii="Garamond" w:hAnsi="Garamond"/>
          <w:sz w:val="24"/>
          <w:szCs w:val="24"/>
        </w:rPr>
        <w:t xml:space="preserve">, 2004,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35–39, 112–115; </w:t>
      </w:r>
      <w:r>
        <w:rPr>
          <w:rFonts w:cs="Garamond" w:ascii="Garamond" w:hAnsi="Garamond"/>
          <w:sz w:val="24"/>
          <w:szCs w:val="24"/>
          <w:lang w:val="fr-FR"/>
        </w:rPr>
        <w:t>Kormysheva</w:t>
      </w:r>
      <w:r>
        <w:rPr>
          <w:rFonts w:cs="Garamond" w:ascii="Garamond" w:hAnsi="Garamond"/>
          <w:sz w:val="24"/>
          <w:szCs w:val="24"/>
        </w:rPr>
        <w:t xml:space="preserve"> </w:t>
      </w:r>
      <w:r>
        <w:rPr>
          <w:rFonts w:cs="Garamond" w:ascii="Garamond" w:hAnsi="Garamond"/>
          <w:sz w:val="24"/>
          <w:szCs w:val="24"/>
          <w:lang w:val="fr-FR"/>
        </w:rPr>
        <w:t>et</w:t>
      </w:r>
      <w:r>
        <w:rPr>
          <w:rFonts w:cs="Garamond" w:ascii="Garamond" w:hAnsi="Garamond"/>
          <w:sz w:val="24"/>
          <w:szCs w:val="24"/>
        </w:rPr>
        <w:t> </w:t>
      </w:r>
      <w:r>
        <w:rPr>
          <w:rFonts w:cs="Garamond" w:ascii="Garamond" w:hAnsi="Garamond"/>
          <w:sz w:val="24"/>
          <w:szCs w:val="24"/>
          <w:lang w:val="fr-FR"/>
        </w:rPr>
        <w:t>al</w:t>
      </w:r>
      <w:r>
        <w:rPr>
          <w:rFonts w:cs="Garamond" w:ascii="Garamond" w:hAnsi="Garamond"/>
          <w:sz w:val="24"/>
          <w:szCs w:val="24"/>
        </w:rPr>
        <w:t xml:space="preserve">., 2015, </w:t>
      </w:r>
      <w:r>
        <w:rPr>
          <w:rFonts w:cs="Garamond" w:ascii="Garamond" w:hAnsi="Garamond"/>
          <w:sz w:val="24"/>
          <w:szCs w:val="24"/>
          <w:lang w:val="fr-FR"/>
        </w:rPr>
        <w:t>p</w:t>
      </w:r>
      <w:r>
        <w:rPr>
          <w:rFonts w:cs="Garamond" w:ascii="Garamond" w:hAnsi="Garamond"/>
          <w:sz w:val="24"/>
          <w:szCs w:val="24"/>
        </w:rPr>
        <w:t>.</w:t>
      </w:r>
      <w:r>
        <w:rPr>
          <w:rFonts w:cs="Garamond" w:ascii="Garamond" w:hAnsi="Garamond"/>
          <w:sz w:val="24"/>
          <w:szCs w:val="24"/>
          <w:lang w:val="fr-FR"/>
        </w:rPr>
        <w:t> </w:t>
      </w:r>
      <w:r>
        <w:rPr>
          <w:rFonts w:cs="Garamond" w:ascii="Garamond" w:hAnsi="Garamond"/>
          <w:sz w:val="24"/>
          <w:szCs w:val="24"/>
        </w:rPr>
        <w:t xml:space="preserve">129, </w:t>
      </w:r>
      <w:r>
        <w:rPr>
          <w:rFonts w:cs="Garamond" w:ascii="Garamond" w:hAnsi="Garamond"/>
          <w:sz w:val="24"/>
          <w:szCs w:val="24"/>
          <w:lang w:val="fr-FR"/>
        </w:rPr>
        <w:t>fig</w:t>
      </w:r>
      <w:r>
        <w:rPr>
          <w:rFonts w:cs="Garamond" w:ascii="Garamond" w:hAnsi="Garamond"/>
          <w:sz w:val="24"/>
          <w:szCs w:val="24"/>
        </w:rPr>
        <w:t>.</w:t>
      </w:r>
      <w:r>
        <w:rPr>
          <w:rFonts w:cs="Garamond" w:ascii="Garamond" w:hAnsi="Garamond"/>
          <w:sz w:val="24"/>
          <w:szCs w:val="24"/>
          <w:lang w:val="fr-FR"/>
        </w:rPr>
        <w:t> </w:t>
      </w:r>
      <w:r>
        <w:rPr>
          <w:rFonts w:cs="Garamond" w:ascii="Garamond" w:hAnsi="Garamond"/>
          <w:sz w:val="24"/>
          <w:szCs w:val="24"/>
        </w:rPr>
        <w:t>47 (</w:t>
      </w:r>
      <w:r>
        <w:rPr>
          <w:rFonts w:cs="Garamond" w:ascii="Garamond" w:hAnsi="Garamond"/>
          <w:bCs/>
          <w:sz w:val="24"/>
          <w:szCs w:val="24"/>
        </w:rPr>
        <w:t>08/15–2/6)</w:t>
      </w:r>
      <w:r>
        <w:rPr>
          <w:rFonts w:cs="Garamond" w:ascii="Garamond" w:hAnsi="Garamond"/>
          <w:sz w:val="24"/>
          <w:szCs w:val="24"/>
        </w:rPr>
        <w:t xml:space="preserve">]. Небольшие продолговатые амфоры типа </w:t>
      </w:r>
      <w:r>
        <w:rPr>
          <w:rFonts w:cs="Garamond" w:ascii="Garamond" w:hAnsi="Garamond"/>
          <w:i/>
          <w:sz w:val="24"/>
          <w:szCs w:val="24"/>
          <w:lang w:val="en-US"/>
        </w:rPr>
        <w:t>Spatheia</w:t>
      </w:r>
      <w:r>
        <w:rPr>
          <w:rFonts w:cs="Garamond" w:ascii="Garamond" w:hAnsi="Garamond"/>
          <w:sz w:val="24"/>
          <w:szCs w:val="24"/>
        </w:rPr>
        <w:t xml:space="preserve"> служили в основном для транспортировки соленого рыбного соуса </w:t>
      </w:r>
      <w:r>
        <w:rPr>
          <w:rFonts w:cs="Garamond" w:ascii="Garamond" w:hAnsi="Garamond"/>
          <w:i/>
          <w:sz w:val="24"/>
          <w:szCs w:val="24"/>
        </w:rPr>
        <w:t>гарум</w:t>
      </w:r>
      <w:r>
        <w:rPr>
          <w:rFonts w:cs="Garamond" w:ascii="Garamond" w:hAnsi="Garamond"/>
          <w:sz w:val="24"/>
          <w:szCs w:val="24"/>
        </w:rPr>
        <w:t xml:space="preserve"> — весьма популярной в Риме приправы к овощным и рыбным блюдам, и даже к фруктам. Тунисские амфоры из-под рыбного соуса </w:t>
      </w:r>
      <w:r>
        <w:rPr>
          <w:rFonts w:cs="Garamond" w:ascii="Garamond" w:hAnsi="Garamond"/>
          <w:i/>
          <w:sz w:val="24"/>
          <w:szCs w:val="24"/>
        </w:rPr>
        <w:t>гарум</w:t>
      </w:r>
      <w:r>
        <w:rPr>
          <w:rFonts w:cs="Garamond" w:ascii="Garamond" w:hAnsi="Garamond"/>
          <w:sz w:val="24"/>
          <w:szCs w:val="24"/>
        </w:rPr>
        <w:t xml:space="preserve"> были обнаружены по всему Средиземноморскому региону, они достигали также территорий современных Португалии, Британии, Судана, и даже берегов Черного моря [</w:t>
      </w:r>
      <w:r>
        <w:rPr>
          <w:rFonts w:cs="Garamond" w:ascii="Garamond" w:hAnsi="Garamond"/>
          <w:sz w:val="24"/>
          <w:szCs w:val="24"/>
          <w:lang w:val="en-US"/>
        </w:rPr>
        <w:t>Bonifay</w:t>
      </w:r>
      <w:r>
        <w:rPr>
          <w:rFonts w:cs="Garamond" w:ascii="Garamond" w:hAnsi="Garamond"/>
          <w:sz w:val="24"/>
          <w:szCs w:val="24"/>
        </w:rPr>
        <w:t xml:space="preserve">, 2004,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124–129, 451–458; </w:t>
      </w:r>
      <w:r>
        <w:rPr>
          <w:rFonts w:cs="Garamond" w:ascii="Garamond" w:hAnsi="Garamond"/>
          <w:sz w:val="24"/>
          <w:szCs w:val="24"/>
          <w:lang w:val="en-US"/>
        </w:rPr>
        <w:t>Gascoigne</w:t>
      </w:r>
      <w:r>
        <w:rPr>
          <w:rFonts w:cs="Garamond" w:ascii="Garamond" w:hAnsi="Garamond"/>
          <w:sz w:val="24"/>
          <w:szCs w:val="24"/>
        </w:rPr>
        <w:t xml:space="preserve">, 2007,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165, </w:t>
      </w:r>
      <w:r>
        <w:rPr>
          <w:rFonts w:cs="Garamond" w:ascii="Garamond" w:hAnsi="Garamond"/>
          <w:sz w:val="24"/>
          <w:szCs w:val="24"/>
          <w:lang w:val="en-US"/>
        </w:rPr>
        <w:t>fig</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10–11.].</w:t>
      </w:r>
      <w:r>
        <mc:AlternateContent>
          <mc:Choice Requires="wps">
            <w:drawing>
              <wp:anchor behindDoc="0" distT="0" distB="0" distL="114300" distR="0" simplePos="0" locked="0" layoutInCell="1" allowOverlap="1" relativeHeight="7">
                <wp:simplePos x="0" y="0"/>
                <wp:positionH relativeFrom="margin">
                  <wp:align>right</wp:align>
                </wp:positionH>
                <wp:positionV relativeFrom="paragraph">
                  <wp:posOffset>20320</wp:posOffset>
                </wp:positionV>
                <wp:extent cx="3432175" cy="3042920"/>
                <wp:effectExtent l="0" t="0" r="0" b="0"/>
                <wp:wrapSquare wrapText="bothSides"/>
                <wp:docPr id="8" name="Врезка2"/>
                <a:graphic xmlns:a="http://schemas.openxmlformats.org/drawingml/2006/main">
                  <a:graphicData uri="http://schemas.microsoft.com/office/word/2010/wordprocessingShape">
                    <wps:wsp>
                      <wps:cNvSpPr txBox="1"/>
                      <wps:spPr>
                        <a:xfrm>
                          <a:off x="0" y="0"/>
                          <a:ext cx="3432175" cy="3042920"/>
                        </a:xfrm>
                        <a:prstGeom prst="rect"/>
                        <a:solidFill>
                          <a:srgbClr val="FFFFFF">
                            <a:alpha val="0"/>
                          </a:srgbClr>
                        </a:solidFill>
                      </wps:spPr>
                      <wps:txbx>
                        <w:txbxContent>
                          <w:tbl>
                            <w:tblPr>
                              <w:tblW w:w="5405" w:type="dxa"/>
                              <w:jc w:val="start"/>
                              <w:tblInd w:w="0" w:type="dxa"/>
                              <w:tblBorders/>
                              <w:tblCellMar>
                                <w:top w:w="0" w:type="dxa"/>
                                <w:start w:w="108" w:type="dxa"/>
                                <w:bottom w:w="0" w:type="dxa"/>
                                <w:end w:w="108" w:type="dxa"/>
                              </w:tblCellMar>
                            </w:tblPr>
                            <w:tblGrid>
                              <w:gridCol w:w="5405"/>
                            </w:tblGrid>
                            <w:tr>
                              <w:trPr/>
                              <w:tc>
                                <w:tcPr>
                                  <w:tcW w:w="5405" w:type="dxa"/>
                                  <w:tcBorders/>
                                  <w:shd w:fill="auto" w:val="clear"/>
                                </w:tcPr>
                                <w:p>
                                  <w:pPr>
                                    <w:pStyle w:val="Normal"/>
                                    <w:ind w:end="-31" w:hanging="0"/>
                                    <w:jc w:val="both"/>
                                    <w:rPr>
                                      <w:rFonts w:ascii="Garamond" w:hAnsi="Garamond" w:cs="Garamond"/>
                                      <w:sz w:val="22"/>
                                      <w:szCs w:val="22"/>
                                    </w:rPr>
                                  </w:pPr>
                                  <w:r>
                                    <w:rPr>
                                      <w:rFonts w:cs="Garamond" w:ascii="Garamond" w:hAnsi="Garamond"/>
                                      <w:sz w:val="22"/>
                                      <w:szCs w:val="22"/>
                                    </w:rPr>
                                    <w:drawing>
                                      <wp:inline distT="0" distB="0" distL="0" distR="0">
                                        <wp:extent cx="3314065" cy="2496185"/>
                                        <wp:effectExtent l="0" t="0" r="0" b="0"/>
                                        <wp:docPr id="9" name="Изображение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5" descr="" title=""/>
                                                <pic:cNvPicPr>
                                                  <a:picLocks noChangeAspect="1" noChangeArrowheads="1"/>
                                                </pic:cNvPicPr>
                                              </pic:nvPicPr>
                                              <pic:blipFill>
                                                <a:blip r:embed="rId7"/>
                                                <a:srcRect l="0" t="-1" r="0" b="-1"/>
                                                <a:stretch>
                                                  <a:fillRect/>
                                                </a:stretch>
                                              </pic:blipFill>
                                              <pic:spPr bwMode="auto">
                                                <a:xfrm>
                                                  <a:off x="0" y="0"/>
                                                  <a:ext cx="3314065" cy="2496185"/>
                                                </a:xfrm>
                                                <a:prstGeom prst="rect">
                                                  <a:avLst/>
                                                </a:prstGeom>
                                              </pic:spPr>
                                            </pic:pic>
                                          </a:graphicData>
                                        </a:graphic>
                                      </wp:inline>
                                    </w:drawing>
                                  </w:r>
                                </w:p>
                                <w:p>
                                  <w:pPr>
                                    <w:pStyle w:val="Normal"/>
                                    <w:ind w:end="-31" w:hanging="0"/>
                                    <w:jc w:val="center"/>
                                    <w:rPr/>
                                  </w:pPr>
                                  <w:r>
                                    <w:rPr>
                                      <w:rFonts w:cs="Garamond" w:ascii="Garamond" w:hAnsi="Garamond"/>
                                      <w:i/>
                                      <w:sz w:val="22"/>
                                      <w:szCs w:val="22"/>
                                    </w:rPr>
                                    <w:t>Илл. 3</w:t>
                                  </w:r>
                                  <w:r>
                                    <w:rPr>
                                      <w:rFonts w:cs="Garamond" w:ascii="Garamond" w:hAnsi="Garamond"/>
                                      <w:sz w:val="22"/>
                                      <w:szCs w:val="22"/>
                                    </w:rPr>
                                    <w:t>. Гончарный горн и гончарный круг в финикийском городе Керкуан, 2017 г. (</w:t>
                                  </w:r>
                                  <w:r>
                                    <w:rPr>
                                      <w:rFonts w:cs="Garamond" w:ascii="Garamond" w:hAnsi="Garamond"/>
                                      <w:i/>
                                      <w:sz w:val="22"/>
                                      <w:szCs w:val="22"/>
                                    </w:rPr>
                                    <w:t>фото автора</w:t>
                                  </w:r>
                                  <w:r>
                                    <w:rPr>
                                      <w:rFonts w:cs="Garamond" w:ascii="Garamond" w:hAnsi="Garamond"/>
                                      <w:sz w:val="22"/>
                                      <w:szCs w:val="22"/>
                                    </w:rPr>
                                    <w:t>)</w:t>
                                  </w:r>
                                </w:p>
                                <w:p>
                                  <w:pPr>
                                    <w:pStyle w:val="Normal"/>
                                    <w:ind w:end="-31" w:hanging="0"/>
                                    <w:jc w:val="center"/>
                                    <w:rPr>
                                      <w:rFonts w:ascii="Garamond" w:hAnsi="Garamond" w:cs="Garamond"/>
                                      <w:sz w:val="8"/>
                                      <w:szCs w:val="8"/>
                                    </w:rPr>
                                  </w:pPr>
                                  <w:r>
                                    <w:rPr>
                                      <w:rFonts w:cs="Garamond" w:ascii="Garamond" w:hAnsi="Garamond"/>
                                      <w:sz w:val="8"/>
                                      <w:szCs w:val="8"/>
                                    </w:rPr>
                                  </w:r>
                                </w:p>
                              </w:tc>
                            </w:tr>
                          </w:tbl>
                        </w:txbxContent>
                      </wps:txbx>
                      <wps:bodyPr anchor="t" lIns="0" tIns="0" rIns="0" bIns="0">
                        <a:noAutofit/>
                      </wps:bodyPr>
                    </wps:wsp>
                  </a:graphicData>
                </a:graphic>
              </wp:anchor>
            </w:drawing>
          </mc:Choice>
          <mc:Fallback>
            <w:pict>
              <v:rect fillcolor="#FFFFFF" style="position:absolute;rotation:0;width:270.25pt;height:239.6pt;mso-wrap-distance-left:9pt;mso-wrap-distance-right:0pt;mso-wrap-distance-top:0pt;mso-wrap-distance-bottom:0pt;margin-top:1.6pt;mso-position-vertical-relative:text;margin-left:169.2pt;mso-position-horizontal:right;mso-position-horizontal-relative:margin">
                <v:fill opacity="0f"/>
                <v:textbox>
                  <w:txbxContent>
                    <w:tbl>
                      <w:tblPr>
                        <w:tblW w:w="5405" w:type="dxa"/>
                        <w:jc w:val="start"/>
                        <w:tblInd w:w="0" w:type="dxa"/>
                        <w:tblBorders/>
                        <w:tblCellMar>
                          <w:top w:w="0" w:type="dxa"/>
                          <w:start w:w="108" w:type="dxa"/>
                          <w:bottom w:w="0" w:type="dxa"/>
                          <w:end w:w="108" w:type="dxa"/>
                        </w:tblCellMar>
                      </w:tblPr>
                      <w:tblGrid>
                        <w:gridCol w:w="5405"/>
                      </w:tblGrid>
                      <w:tr>
                        <w:trPr/>
                        <w:tc>
                          <w:tcPr>
                            <w:tcW w:w="5405" w:type="dxa"/>
                            <w:tcBorders/>
                            <w:shd w:fill="auto" w:val="clear"/>
                          </w:tcPr>
                          <w:p>
                            <w:pPr>
                              <w:pStyle w:val="Normal"/>
                              <w:ind w:end="-31" w:hanging="0"/>
                              <w:jc w:val="both"/>
                              <w:rPr>
                                <w:rFonts w:ascii="Garamond" w:hAnsi="Garamond" w:cs="Garamond"/>
                                <w:sz w:val="22"/>
                                <w:szCs w:val="22"/>
                              </w:rPr>
                            </w:pPr>
                            <w:r>
                              <w:rPr>
                                <w:rFonts w:cs="Garamond" w:ascii="Garamond" w:hAnsi="Garamond"/>
                                <w:sz w:val="22"/>
                                <w:szCs w:val="22"/>
                              </w:rPr>
                              <w:drawing>
                                <wp:inline distT="0" distB="0" distL="0" distR="0">
                                  <wp:extent cx="3314065" cy="2496185"/>
                                  <wp:effectExtent l="0" t="0" r="0" b="0"/>
                                  <wp:docPr id="10" name="Изображение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5" descr="" title=""/>
                                          <pic:cNvPicPr>
                                            <a:picLocks noChangeAspect="1" noChangeArrowheads="1"/>
                                          </pic:cNvPicPr>
                                        </pic:nvPicPr>
                                        <pic:blipFill>
                                          <a:blip r:embed="rId7"/>
                                          <a:srcRect l="0" t="-1" r="0" b="-1"/>
                                          <a:stretch>
                                            <a:fillRect/>
                                          </a:stretch>
                                        </pic:blipFill>
                                        <pic:spPr bwMode="auto">
                                          <a:xfrm>
                                            <a:off x="0" y="0"/>
                                            <a:ext cx="3314065" cy="2496185"/>
                                          </a:xfrm>
                                          <a:prstGeom prst="rect">
                                            <a:avLst/>
                                          </a:prstGeom>
                                        </pic:spPr>
                                      </pic:pic>
                                    </a:graphicData>
                                  </a:graphic>
                                </wp:inline>
                              </w:drawing>
                            </w:r>
                          </w:p>
                          <w:p>
                            <w:pPr>
                              <w:pStyle w:val="Normal"/>
                              <w:ind w:end="-31" w:hanging="0"/>
                              <w:jc w:val="center"/>
                              <w:rPr/>
                            </w:pPr>
                            <w:r>
                              <w:rPr>
                                <w:rFonts w:cs="Garamond" w:ascii="Garamond" w:hAnsi="Garamond"/>
                                <w:i/>
                                <w:sz w:val="22"/>
                                <w:szCs w:val="22"/>
                              </w:rPr>
                              <w:t>Илл. 3</w:t>
                            </w:r>
                            <w:r>
                              <w:rPr>
                                <w:rFonts w:cs="Garamond" w:ascii="Garamond" w:hAnsi="Garamond"/>
                                <w:sz w:val="22"/>
                                <w:szCs w:val="22"/>
                              </w:rPr>
                              <w:t>. Гончарный горн и гончарный круг в финикийском городе Керкуан, 2017 г. (</w:t>
                            </w:r>
                            <w:r>
                              <w:rPr>
                                <w:rFonts w:cs="Garamond" w:ascii="Garamond" w:hAnsi="Garamond"/>
                                <w:i/>
                                <w:sz w:val="22"/>
                                <w:szCs w:val="22"/>
                              </w:rPr>
                              <w:t>фото автора</w:t>
                            </w:r>
                            <w:r>
                              <w:rPr>
                                <w:rFonts w:cs="Garamond" w:ascii="Garamond" w:hAnsi="Garamond"/>
                                <w:sz w:val="22"/>
                                <w:szCs w:val="22"/>
                              </w:rPr>
                              <w:t>)</w:t>
                            </w:r>
                          </w:p>
                          <w:p>
                            <w:pPr>
                              <w:pStyle w:val="Normal"/>
                              <w:ind w:end="-31" w:hanging="0"/>
                              <w:jc w:val="center"/>
                              <w:rPr>
                                <w:rFonts w:ascii="Garamond" w:hAnsi="Garamond" w:cs="Garamond"/>
                                <w:sz w:val="8"/>
                                <w:szCs w:val="8"/>
                              </w:rPr>
                            </w:pPr>
                            <w:r>
                              <w:rPr>
                                <w:rFonts w:cs="Garamond" w:ascii="Garamond" w:hAnsi="Garamond"/>
                                <w:sz w:val="8"/>
                                <w:szCs w:val="8"/>
                              </w:rPr>
                            </w:r>
                          </w:p>
                        </w:tc>
                      </w:tr>
                    </w:tbl>
                  </w:txbxContent>
                </v:textbox>
                <w10:wrap type="square"/>
              </v:rect>
            </w:pict>
          </mc:Fallback>
        </mc:AlternateContent>
      </w:r>
    </w:p>
    <w:p>
      <w:pPr>
        <w:pStyle w:val="Normal"/>
        <w:ind w:end="-31" w:firstLine="708"/>
        <w:jc w:val="both"/>
        <w:rPr/>
      </w:pPr>
      <w:r>
        <w:rPr>
          <w:rFonts w:cs="Garamond" w:ascii="Garamond" w:hAnsi="Garamond"/>
          <w:sz w:val="24"/>
          <w:szCs w:val="24"/>
        </w:rPr>
        <w:t xml:space="preserve">В римское и византийское время в Неаполе изготовлялась и бытовая глиняная утварь (кувшины, котлы, тарелки), использовавшаяся в домашних хозяйствах местных жителей. Однако дорогая столовая краснолаковая посуда (т. н. </w:t>
      </w:r>
      <w:r>
        <w:rPr>
          <w:rFonts w:cs="Garamond" w:ascii="Garamond" w:hAnsi="Garamond"/>
          <w:i/>
          <w:sz w:val="24"/>
          <w:szCs w:val="24"/>
        </w:rPr>
        <w:t xml:space="preserve">африканская </w:t>
      </w:r>
      <w:r>
        <w:rPr>
          <w:rFonts w:cs="Garamond" w:ascii="Garamond" w:hAnsi="Garamond"/>
          <w:sz w:val="24"/>
          <w:szCs w:val="24"/>
        </w:rPr>
        <w:t>или</w:t>
      </w:r>
      <w:r>
        <w:rPr>
          <w:rFonts w:cs="Garamond" w:ascii="Garamond" w:hAnsi="Garamond"/>
          <w:i/>
          <w:sz w:val="24"/>
          <w:szCs w:val="24"/>
        </w:rPr>
        <w:t xml:space="preserve"> североафриканская сигиллата </w:t>
      </w:r>
      <w:r>
        <w:rPr>
          <w:rFonts w:cs="Garamond" w:ascii="Garamond" w:hAnsi="Garamond"/>
          <w:sz w:val="24"/>
          <w:szCs w:val="24"/>
        </w:rPr>
        <w:t>[</w:t>
      </w:r>
      <w:r>
        <w:rPr>
          <w:rFonts w:cs="Garamond" w:ascii="Garamond" w:hAnsi="Garamond"/>
          <w:sz w:val="24"/>
          <w:szCs w:val="24"/>
          <w:lang w:val="en-US"/>
        </w:rPr>
        <w:t>Tomber</w:t>
      </w:r>
      <w:r>
        <w:rPr>
          <w:rFonts w:cs="Garamond" w:ascii="Garamond" w:hAnsi="Garamond"/>
          <w:sz w:val="24"/>
          <w:szCs w:val="24"/>
        </w:rPr>
        <w:t xml:space="preserve">, </w:t>
      </w:r>
      <w:r>
        <w:rPr>
          <w:rFonts w:cs="Garamond" w:ascii="Garamond" w:hAnsi="Garamond"/>
          <w:sz w:val="24"/>
          <w:szCs w:val="24"/>
          <w:lang w:val="en-US"/>
        </w:rPr>
        <w:t>Dore</w:t>
      </w:r>
      <w:r>
        <w:rPr>
          <w:rFonts w:cs="Garamond" w:ascii="Garamond" w:hAnsi="Garamond"/>
          <w:sz w:val="24"/>
          <w:szCs w:val="24"/>
        </w:rPr>
        <w:t xml:space="preserve">, 1998,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61],</w:t>
      </w:r>
      <w:r>
        <w:rPr>
          <w:rFonts w:cs="Garamond" w:ascii="Garamond" w:hAnsi="Garamond"/>
          <w:i/>
          <w:sz w:val="24"/>
          <w:szCs w:val="24"/>
        </w:rPr>
        <w:t xml:space="preserve"> илл. 5</w:t>
      </w:r>
      <w:r>
        <w:rPr>
          <w:rFonts w:cs="Garamond" w:ascii="Garamond" w:hAnsi="Garamond"/>
          <w:sz w:val="24"/>
          <w:szCs w:val="24"/>
        </w:rPr>
        <w:t>) не производилась непосредственно в Неаполе. Причина крылась в характере местных гончарных глин, по своему качеству не подходивших для тонкой столовой посуды. Ближайшим местом залежей таких глин было поселение Сиди Захруни (в 10 км севернее Набёля). Другим крупным центром изготовления краснолаковой столовой посуды, экспортировавшейся в другие регионы, например, в Испанию, Италию, Германию, Грецию, Египет, Ливию</w:t>
      </w:r>
      <w:r>
        <w:rPr>
          <w:rStyle w:val="Style14"/>
          <w:rStyle w:val="Style19"/>
          <w:rFonts w:cs="Garamond" w:ascii="Garamond" w:hAnsi="Garamond"/>
          <w:sz w:val="24"/>
          <w:szCs w:val="24"/>
        </w:rPr>
        <w:footnoteReference w:id="3"/>
      </w:r>
      <w:r>
        <w:rPr>
          <w:rFonts w:cs="Garamond" w:ascii="Garamond" w:hAnsi="Garamond"/>
          <w:sz w:val="24"/>
          <w:szCs w:val="24"/>
        </w:rPr>
        <w:t>, было поселение Сиди Халифа (древнеримский город Ферадус Майюс) в 40 км к юго-западу от Неаполя [</w:t>
      </w:r>
      <w:r>
        <w:rPr>
          <w:rFonts w:cs="Garamond" w:ascii="Garamond" w:hAnsi="Garamond"/>
          <w:sz w:val="24"/>
          <w:szCs w:val="24"/>
          <w:lang w:val="en-US"/>
        </w:rPr>
        <w:t>Bonifay</w:t>
      </w:r>
      <w:r>
        <w:rPr>
          <w:rFonts w:cs="Garamond" w:ascii="Garamond" w:hAnsi="Garamond"/>
          <w:sz w:val="24"/>
          <w:szCs w:val="24"/>
        </w:rPr>
        <w:t xml:space="preserve">, 2004, </w:t>
      </w:r>
      <w:r>
        <w:rPr>
          <w:rFonts w:cs="Garamond" w:ascii="Garamond" w:hAnsi="Garamond"/>
          <w:sz w:val="24"/>
          <w:szCs w:val="24"/>
          <w:lang w:val="en-US"/>
        </w:rPr>
        <w:t>p</w:t>
      </w:r>
      <w:r>
        <w:rPr>
          <w:rFonts w:cs="Garamond" w:ascii="Garamond" w:hAnsi="Garamond"/>
          <w:sz w:val="24"/>
          <w:szCs w:val="24"/>
        </w:rPr>
        <w:t>. 55–57]. Иные места изготовления африканской сигиллаты были сконцентрированы в северном и центральном Тунисе, вблизи римских городов Утина (Удна), Тубурбон Минус и Суфетула (Сбейтла) [</w:t>
      </w:r>
      <w:r>
        <w:rPr>
          <w:rFonts w:cs="Garamond" w:ascii="Garamond" w:hAnsi="Garamond"/>
          <w:sz w:val="24"/>
          <w:szCs w:val="24"/>
          <w:lang w:val="en-US"/>
        </w:rPr>
        <w:t>Bonifay</w:t>
      </w:r>
      <w:r>
        <w:rPr>
          <w:rFonts w:cs="Garamond" w:ascii="Garamond" w:hAnsi="Garamond"/>
          <w:sz w:val="24"/>
          <w:szCs w:val="24"/>
        </w:rPr>
        <w:t xml:space="preserve">, 2004, </w:t>
      </w:r>
      <w:r>
        <w:rPr>
          <w:rFonts w:cs="Garamond" w:ascii="Garamond" w:hAnsi="Garamond"/>
          <w:sz w:val="24"/>
          <w:szCs w:val="24"/>
          <w:lang w:val="en-US"/>
        </w:rPr>
        <w:t>p</w:t>
      </w:r>
      <w:r>
        <w:rPr>
          <w:rFonts w:cs="Garamond" w:ascii="Garamond" w:hAnsi="Garamond"/>
          <w:sz w:val="24"/>
          <w:szCs w:val="24"/>
        </w:rPr>
        <w:t>.45–53].</w:t>
      </w:r>
    </w:p>
    <w:p>
      <w:pPr>
        <w:pStyle w:val="Normal"/>
        <w:ind w:end="-31" w:firstLine="708"/>
        <w:jc w:val="both"/>
        <w:rPr>
          <w:rFonts w:ascii="Garamond" w:hAnsi="Garamond" w:cs="Garamond"/>
          <w:sz w:val="16"/>
          <w:szCs w:val="16"/>
        </w:rPr>
      </w:pPr>
      <w:r>
        <w:rPr>
          <w:rFonts w:cs="Garamond" w:ascii="Garamond" w:hAnsi="Garamond"/>
          <w:sz w:val="16"/>
          <w:szCs w:val="16"/>
        </w:rPr>
      </w:r>
    </w:p>
    <w:tbl>
      <w:tblPr>
        <w:tblW w:w="8928" w:type="dxa"/>
        <w:jc w:val="start"/>
        <w:tblInd w:w="-108" w:type="dxa"/>
        <w:tblBorders/>
        <w:tblCellMar>
          <w:top w:w="0" w:type="dxa"/>
          <w:start w:w="108" w:type="dxa"/>
          <w:bottom w:w="0" w:type="dxa"/>
          <w:end w:w="108" w:type="dxa"/>
        </w:tblCellMar>
      </w:tblPr>
      <w:tblGrid>
        <w:gridCol w:w="4848"/>
        <w:gridCol w:w="4080"/>
      </w:tblGrid>
      <w:tr>
        <w:trPr/>
        <w:tc>
          <w:tcPr>
            <w:tcW w:w="4848" w:type="dxa"/>
            <w:tcBorders/>
            <w:shd w:fill="auto" w:val="clear"/>
          </w:tcPr>
          <w:p>
            <w:pPr>
              <w:pStyle w:val="Normal"/>
              <w:ind w:end="-31" w:hanging="0"/>
              <w:jc w:val="both"/>
              <w:rPr>
                <w:rFonts w:ascii="Garamond" w:hAnsi="Garamond" w:cs="Garamond"/>
                <w:sz w:val="24"/>
                <w:szCs w:val="24"/>
              </w:rPr>
            </w:pPr>
            <w:r>
              <w:rPr>
                <w:rFonts w:cs="Garamond" w:ascii="Garamond" w:hAnsi="Garamond"/>
                <w:sz w:val="24"/>
                <w:szCs w:val="24"/>
              </w:rPr>
              <w:drawing>
                <wp:inline distT="0" distB="0" distL="0" distR="0">
                  <wp:extent cx="2960370" cy="3669030"/>
                  <wp:effectExtent l="0" t="0" r="0" b="0"/>
                  <wp:docPr id="11" name="Изображение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6" descr="" title=""/>
                          <pic:cNvPicPr>
                            <a:picLocks noChangeAspect="1" noChangeArrowheads="1"/>
                          </pic:cNvPicPr>
                        </pic:nvPicPr>
                        <pic:blipFill>
                          <a:blip r:embed="rId8"/>
                          <a:srcRect l="-2" t="-1" r="-2" b="-1"/>
                          <a:stretch>
                            <a:fillRect/>
                          </a:stretch>
                        </pic:blipFill>
                        <pic:spPr bwMode="auto">
                          <a:xfrm>
                            <a:off x="0" y="0"/>
                            <a:ext cx="2960370" cy="3669030"/>
                          </a:xfrm>
                          <a:prstGeom prst="rect">
                            <a:avLst/>
                          </a:prstGeom>
                        </pic:spPr>
                      </pic:pic>
                    </a:graphicData>
                  </a:graphic>
                </wp:inline>
              </w:drawing>
            </w:r>
          </w:p>
        </w:tc>
        <w:tc>
          <w:tcPr>
            <w:tcW w:w="4080" w:type="dxa"/>
            <w:tcBorders/>
            <w:shd w:fill="auto" w:val="clear"/>
          </w:tcPr>
          <w:p>
            <w:pPr>
              <w:pStyle w:val="Normal"/>
              <w:ind w:end="-108" w:hanging="0"/>
              <w:jc w:val="end"/>
              <w:rPr>
                <w:rFonts w:ascii="Garamond" w:hAnsi="Garamond" w:cs="Garamond"/>
                <w:sz w:val="24"/>
                <w:szCs w:val="24"/>
              </w:rPr>
            </w:pPr>
            <w:r>
              <w:rPr>
                <w:rFonts w:cs="Garamond" w:ascii="Garamond" w:hAnsi="Garamond"/>
                <w:sz w:val="24"/>
                <w:szCs w:val="24"/>
              </w:rPr>
              <w:drawing>
                <wp:inline distT="0" distB="0" distL="0" distR="0">
                  <wp:extent cx="2452370" cy="3678555"/>
                  <wp:effectExtent l="0" t="0" r="0" b="0"/>
                  <wp:docPr id="12" name="Изображение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7" descr="" title=""/>
                          <pic:cNvPicPr>
                            <a:picLocks noChangeAspect="1" noChangeArrowheads="1"/>
                          </pic:cNvPicPr>
                        </pic:nvPicPr>
                        <pic:blipFill>
                          <a:blip r:embed="rId9"/>
                          <a:srcRect l="-1" t="0" r="-1" b="0"/>
                          <a:stretch>
                            <a:fillRect/>
                          </a:stretch>
                        </pic:blipFill>
                        <pic:spPr bwMode="auto">
                          <a:xfrm>
                            <a:off x="0" y="0"/>
                            <a:ext cx="2452370" cy="3678555"/>
                          </a:xfrm>
                          <a:prstGeom prst="rect">
                            <a:avLst/>
                          </a:prstGeom>
                        </pic:spPr>
                      </pic:pic>
                    </a:graphicData>
                  </a:graphic>
                </wp:inline>
              </w:drawing>
            </w:r>
          </w:p>
        </w:tc>
      </w:tr>
    </w:tbl>
    <w:p>
      <w:pPr>
        <w:pStyle w:val="Normal"/>
        <w:ind w:end="-31" w:hanging="0"/>
        <w:jc w:val="center"/>
        <w:rPr/>
      </w:pPr>
      <w:r>
        <w:rPr>
          <w:rFonts w:cs="Garamond" w:ascii="Garamond" w:hAnsi="Garamond"/>
          <w:i/>
          <w:sz w:val="22"/>
          <w:szCs w:val="22"/>
        </w:rPr>
        <w:t>Илл. 4</w:t>
      </w:r>
      <w:r>
        <w:rPr>
          <w:rFonts w:cs="Garamond" w:ascii="Garamond" w:hAnsi="Garamond"/>
          <w:sz w:val="22"/>
          <w:szCs w:val="22"/>
        </w:rPr>
        <w:t xml:space="preserve">. Древний Неаполь. Мастерские по засолке рыбы </w:t>
      </w:r>
      <w:r>
        <w:rPr>
          <w:rFonts w:cs="Garamond" w:ascii="Garamond" w:hAnsi="Garamond"/>
          <w:sz w:val="22"/>
          <w:szCs w:val="22"/>
          <w:lang w:val="en-US"/>
        </w:rPr>
        <w:t>III</w:t>
      </w:r>
      <w:r>
        <w:rPr>
          <w:rFonts w:cs="Garamond" w:ascii="Garamond" w:hAnsi="Garamond"/>
          <w:sz w:val="22"/>
          <w:szCs w:val="22"/>
        </w:rPr>
        <w:t> в. н. э.</w:t>
      </w:r>
    </w:p>
    <w:p>
      <w:pPr>
        <w:pStyle w:val="Normal"/>
        <w:ind w:end="-31" w:hanging="0"/>
        <w:jc w:val="center"/>
        <w:rPr>
          <w:rFonts w:ascii="Garamond" w:hAnsi="Garamond" w:cs="Garamond"/>
          <w:sz w:val="22"/>
          <w:szCs w:val="22"/>
        </w:rPr>
      </w:pPr>
      <w:r>
        <w:rPr>
          <w:rFonts w:cs="Garamond" w:ascii="Garamond" w:hAnsi="Garamond"/>
          <w:sz w:val="22"/>
          <w:szCs w:val="22"/>
        </w:rPr>
        <w:t>(частично реконструированы), 2008 г. (</w:t>
      </w:r>
      <w:r>
        <w:rPr>
          <w:rFonts w:cs="Garamond" w:ascii="Garamond" w:hAnsi="Garamond"/>
          <w:i/>
          <w:sz w:val="22"/>
          <w:szCs w:val="22"/>
        </w:rPr>
        <w:t>фото автора</w:t>
      </w:r>
      <w:r>
        <w:rPr>
          <w:rFonts w:cs="Garamond" w:ascii="Garamond" w:hAnsi="Garamond"/>
          <w:sz w:val="22"/>
          <w:szCs w:val="22"/>
        </w:rPr>
        <w:t>)</w:t>
      </w:r>
    </w:p>
    <w:p>
      <w:pPr>
        <w:pStyle w:val="Normal"/>
        <w:ind w:end="-31" w:hanging="0"/>
        <w:jc w:val="center"/>
        <w:rPr>
          <w:rFonts w:ascii="Garamond" w:hAnsi="Garamond" w:cs="Garamond"/>
          <w:sz w:val="16"/>
          <w:szCs w:val="16"/>
        </w:rPr>
      </w:pPr>
      <w:r>
        <w:rPr>
          <w:rFonts w:cs="Garamond" w:ascii="Garamond" w:hAnsi="Garamond"/>
          <w:sz w:val="16"/>
          <w:szCs w:val="16"/>
        </w:rPr>
      </w:r>
    </w:p>
    <w:p>
      <w:pPr>
        <w:pStyle w:val="Normal"/>
        <w:ind w:end="-31" w:firstLine="708"/>
        <w:jc w:val="both"/>
        <w:rPr/>
      </w:pPr>
      <w:r>
        <w:rPr>
          <w:rFonts w:cs="Garamond" w:ascii="Garamond" w:hAnsi="Garamond"/>
          <w:sz w:val="24"/>
          <w:szCs w:val="24"/>
        </w:rPr>
        <w:t>Спустя два тысячелетия залежи глины в Набёле (</w:t>
      </w:r>
      <w:r>
        <w:rPr>
          <w:rFonts w:cs="Garamond" w:ascii="Garamond" w:hAnsi="Garamond"/>
          <w:i/>
          <w:sz w:val="24"/>
          <w:szCs w:val="24"/>
        </w:rPr>
        <w:t>илл. 6</w:t>
      </w:r>
      <w:r>
        <w:rPr>
          <w:rFonts w:cs="Garamond" w:ascii="Garamond" w:hAnsi="Garamond"/>
          <w:sz w:val="24"/>
          <w:szCs w:val="24"/>
        </w:rPr>
        <w:t xml:space="preserve">) все еще не выработаны и используются в промышленных целях для производства кирпича, облицовочной плитки и сосудов различных форм. Эти залежи разрабатываются открытым способом, и, благодаря легкости добычи, большому объему сырья и его хорошему качеству, гончарное производство и стало основным в Набёле. При желании и обладая достаточной настойчивостью можно попасть к набёльским гончарам, занимающим отдельный квартал на окраине города вблизи месторождений гончарных глин. К примеру, гончарство острова Джерба (на юго-востоке Туниса), имеющее еще более древние традиции, заложенные финикийцами в </w:t>
      </w:r>
      <w:r>
        <w:rPr>
          <w:rFonts w:cs="Garamond" w:ascii="Garamond" w:hAnsi="Garamond"/>
          <w:sz w:val="24"/>
          <w:szCs w:val="24"/>
          <w:lang w:val="en-US"/>
        </w:rPr>
        <w:t>I</w:t>
      </w:r>
      <w:r>
        <w:rPr>
          <w:rFonts w:cs="Garamond" w:ascii="Garamond" w:hAnsi="Garamond"/>
          <w:sz w:val="24"/>
          <w:szCs w:val="24"/>
        </w:rPr>
        <w:t> тыс. до н. э., не получило такого широкого распространения в стране, во-первых, из-за сложности добычи глины (разработки ведутся шахтным способом), а, во-вторых, из-за удаленности от крупных торговых центров страны, прежде всего столицы — города Туниса [</w:t>
      </w:r>
      <w:r>
        <w:rPr>
          <w:rFonts w:cs="Garamond" w:ascii="Garamond" w:hAnsi="Garamond"/>
          <w:sz w:val="24"/>
          <w:szCs w:val="24"/>
          <w:lang w:val="fr-FR"/>
        </w:rPr>
        <w:t>Ben</w:t>
      </w:r>
      <w:r>
        <w:rPr>
          <w:rFonts w:cs="Garamond" w:ascii="Garamond" w:hAnsi="Garamond"/>
          <w:sz w:val="24"/>
          <w:szCs w:val="24"/>
        </w:rPr>
        <w:t xml:space="preserve"> </w:t>
      </w:r>
      <w:r>
        <w:rPr>
          <w:rFonts w:cs="Garamond" w:ascii="Garamond" w:hAnsi="Garamond"/>
          <w:sz w:val="24"/>
          <w:szCs w:val="24"/>
          <w:lang w:val="fr-FR"/>
        </w:rPr>
        <w:t>Ouezdou</w:t>
      </w:r>
      <w:r>
        <w:rPr>
          <w:rFonts w:cs="Garamond" w:ascii="Garamond" w:hAnsi="Garamond"/>
          <w:sz w:val="24"/>
          <w:szCs w:val="24"/>
        </w:rPr>
        <w:t xml:space="preserve">, 2008, </w:t>
      </w:r>
      <w:r>
        <w:rPr>
          <w:rFonts w:cs="Garamond" w:ascii="Garamond" w:hAnsi="Garamond"/>
          <w:sz w:val="24"/>
          <w:szCs w:val="24"/>
          <w:lang w:val="en-US"/>
        </w:rPr>
        <w:t>p</w:t>
      </w:r>
      <w:r>
        <w:rPr>
          <w:rFonts w:cs="Garamond" w:ascii="Garamond" w:hAnsi="Garamond"/>
          <w:sz w:val="24"/>
          <w:szCs w:val="24"/>
        </w:rPr>
        <w:t>. 14, 85].</w:t>
      </w:r>
    </w:p>
    <w:p>
      <w:pPr>
        <w:pStyle w:val="Normal"/>
        <w:ind w:end="-31" w:firstLine="708"/>
        <w:jc w:val="both"/>
        <w:rPr/>
      </w:pPr>
      <w:r>
        <w:rPr>
          <w:rFonts w:cs="Garamond" w:ascii="Garamond" w:hAnsi="Garamond"/>
          <w:sz w:val="24"/>
          <w:szCs w:val="24"/>
        </w:rPr>
        <w:t>Гончарный квартал Набёля образуют неказистые одно- и двухэтажные строения, служащие одновременно и мастерскими, и хранилищами продукции. Сами гончары со своими семьями живут неподалеку, в деревушке немного севернее. Для обозначения специализации мастерских на воротах перед многими зданиями выставлены различные кувшины и горшки, что придает кварталу некоторую живописность (</w:t>
      </w:r>
      <w:r>
        <w:rPr>
          <w:rFonts w:cs="Garamond" w:ascii="Garamond" w:hAnsi="Garamond"/>
          <w:i/>
          <w:sz w:val="24"/>
          <w:szCs w:val="24"/>
        </w:rPr>
        <w:t>цветная вклейка, фото 4</w:t>
      </w:r>
      <w:r>
        <w:rPr>
          <w:rFonts w:cs="Garamond" w:ascii="Garamond" w:hAnsi="Garamond"/>
          <w:sz w:val="24"/>
          <w:szCs w:val="24"/>
        </w:rPr>
        <w:t>).</w:t>
      </w:r>
      <w:r>
        <mc:AlternateContent>
          <mc:Choice Requires="wps">
            <w:drawing>
              <wp:anchor behindDoc="0" distT="0" distB="0" distL="114300" distR="0" simplePos="0" locked="0" layoutInCell="1" allowOverlap="1" relativeHeight="11">
                <wp:simplePos x="0" y="0"/>
                <wp:positionH relativeFrom="margin">
                  <wp:align>right</wp:align>
                </wp:positionH>
                <wp:positionV relativeFrom="paragraph">
                  <wp:posOffset>-494030</wp:posOffset>
                </wp:positionV>
                <wp:extent cx="2125980" cy="3282315"/>
                <wp:effectExtent l="0" t="0" r="0" b="0"/>
                <wp:wrapSquare wrapText="bothSides"/>
                <wp:docPr id="13" name="Врезка3"/>
                <a:graphic xmlns:a="http://schemas.openxmlformats.org/drawingml/2006/main">
                  <a:graphicData uri="http://schemas.microsoft.com/office/word/2010/wordprocessingShape">
                    <wps:wsp>
                      <wps:cNvSpPr txBox="1"/>
                      <wps:spPr>
                        <a:xfrm>
                          <a:off x="0" y="0"/>
                          <a:ext cx="2125980" cy="3282315"/>
                        </a:xfrm>
                        <a:prstGeom prst="rect"/>
                        <a:solidFill>
                          <a:srgbClr val="FFFFFF">
                            <a:alpha val="0"/>
                          </a:srgbClr>
                        </a:solidFill>
                      </wps:spPr>
                      <wps:txbx>
                        <w:txbxContent>
                          <w:tbl>
                            <w:tblPr>
                              <w:tblW w:w="3348" w:type="dxa"/>
                              <w:jc w:val="start"/>
                              <w:tblInd w:w="0" w:type="dxa"/>
                              <w:tblBorders/>
                              <w:tblCellMar>
                                <w:top w:w="0" w:type="dxa"/>
                                <w:start w:w="108" w:type="dxa"/>
                                <w:bottom w:w="0" w:type="dxa"/>
                                <w:end w:w="108" w:type="dxa"/>
                              </w:tblCellMar>
                            </w:tblPr>
                            <w:tblGrid>
                              <w:gridCol w:w="3348"/>
                            </w:tblGrid>
                            <w:tr>
                              <w:trPr/>
                              <w:tc>
                                <w:tcPr>
                                  <w:tcW w:w="3348" w:type="dxa"/>
                                  <w:tcBorders/>
                                  <w:shd w:fill="auto" w:val="clear"/>
                                </w:tcPr>
                                <w:p>
                                  <w:pPr>
                                    <w:pStyle w:val="Normal"/>
                                    <w:ind w:end="-31" w:hanging="0"/>
                                    <w:jc w:val="both"/>
                                    <w:rPr>
                                      <w:rFonts w:ascii="Garamond" w:hAnsi="Garamond" w:cs="Garamond"/>
                                      <w:sz w:val="22"/>
                                      <w:szCs w:val="22"/>
                                    </w:rPr>
                                  </w:pPr>
                                  <w:r>
                                    <w:rPr>
                                      <w:rFonts w:cs="Garamond" w:ascii="Garamond" w:hAnsi="Garamond"/>
                                      <w:sz w:val="22"/>
                                      <w:szCs w:val="22"/>
                                    </w:rPr>
                                    <w:drawing>
                                      <wp:inline distT="0" distB="0" distL="0" distR="0">
                                        <wp:extent cx="2002155" cy="2410460"/>
                                        <wp:effectExtent l="0" t="0" r="0" b="0"/>
                                        <wp:docPr id="14" name="Изображение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8" descr="" title=""/>
                                                <pic:cNvPicPr>
                                                  <a:picLocks noChangeAspect="1" noChangeArrowheads="1"/>
                                                </pic:cNvPicPr>
                                              </pic:nvPicPr>
                                              <pic:blipFill>
                                                <a:blip r:embed="rId10"/>
                                                <a:srcRect l="-3" t="-2" r="-3" b="-2"/>
                                                <a:stretch>
                                                  <a:fillRect/>
                                                </a:stretch>
                                              </pic:blipFill>
                                              <pic:spPr bwMode="auto">
                                                <a:xfrm>
                                                  <a:off x="0" y="0"/>
                                                  <a:ext cx="2002155" cy="2410460"/>
                                                </a:xfrm>
                                                <a:prstGeom prst="rect">
                                                  <a:avLst/>
                                                </a:prstGeom>
                                              </pic:spPr>
                                            </pic:pic>
                                          </a:graphicData>
                                        </a:graphic>
                                      </wp:inline>
                                    </w:drawing>
                                  </w:r>
                                </w:p>
                                <w:p>
                                  <w:pPr>
                                    <w:pStyle w:val="Normal"/>
                                    <w:ind w:end="-31" w:hanging="0"/>
                                    <w:jc w:val="center"/>
                                    <w:rPr/>
                                  </w:pPr>
                                  <w:r>
                                    <w:rPr>
                                      <w:rFonts w:cs="Garamond" w:ascii="Garamond" w:hAnsi="Garamond"/>
                                      <w:i/>
                                      <w:sz w:val="22"/>
                                      <w:szCs w:val="22"/>
                                    </w:rPr>
                                    <w:t>Илл. 5</w:t>
                                  </w:r>
                                  <w:r>
                                    <w:rPr>
                                      <w:rFonts w:cs="Garamond" w:ascii="Garamond" w:hAnsi="Garamond"/>
                                      <w:sz w:val="22"/>
                                      <w:szCs w:val="22"/>
                                    </w:rPr>
                                    <w:t xml:space="preserve">. Ваза — североафриканская </w:t>
                                  </w:r>
                                  <w:r>
                                    <w:rPr>
                                      <w:rFonts w:cs="Garamond" w:ascii="Garamond" w:hAnsi="Garamond"/>
                                      <w:i/>
                                      <w:sz w:val="22"/>
                                      <w:szCs w:val="22"/>
                                    </w:rPr>
                                    <w:t>сигиллата</w:t>
                                  </w:r>
                                  <w:r>
                                    <w:rPr>
                                      <w:rFonts w:cs="Garamond" w:ascii="Garamond" w:hAnsi="Garamond"/>
                                      <w:sz w:val="22"/>
                                      <w:szCs w:val="22"/>
                                    </w:rPr>
                                    <w:t xml:space="preserve"> середины </w:t>
                                  </w:r>
                                  <w:r>
                                    <w:rPr>
                                      <w:rFonts w:cs="Garamond" w:ascii="Garamond" w:hAnsi="Garamond"/>
                                      <w:sz w:val="22"/>
                                      <w:szCs w:val="22"/>
                                      <w:lang w:val="en-US"/>
                                    </w:rPr>
                                    <w:t>III</w:t>
                                  </w:r>
                                  <w:r>
                                    <w:rPr>
                                      <w:rFonts w:cs="Garamond" w:ascii="Garamond" w:hAnsi="Garamond"/>
                                      <w:sz w:val="22"/>
                                      <w:szCs w:val="22"/>
                                    </w:rPr>
                                    <w:t> в. н. э. из музея Бардо, Тунис (</w:t>
                                  </w:r>
                                  <w:r>
                                    <w:rPr>
                                      <w:rFonts w:cs="Garamond" w:ascii="Garamond" w:hAnsi="Garamond"/>
                                      <w:i/>
                                      <w:sz w:val="22"/>
                                      <w:szCs w:val="22"/>
                                    </w:rPr>
                                    <w:t>фото автора</w:t>
                                  </w:r>
                                  <w:r>
                                    <w:rPr>
                                      <w:rFonts w:cs="Garamond" w:ascii="Garamond" w:hAnsi="Garamond"/>
                                      <w:sz w:val="22"/>
                                      <w:szCs w:val="22"/>
                                    </w:rPr>
                                    <w:t>)</w:t>
                                  </w:r>
                                </w:p>
                                <w:p>
                                  <w:pPr>
                                    <w:pStyle w:val="Normal"/>
                                    <w:ind w:end="-31" w:hanging="0"/>
                                    <w:rPr>
                                      <w:rFonts w:ascii="Garamond" w:hAnsi="Garamond" w:cs="Garamond"/>
                                      <w:sz w:val="8"/>
                                      <w:szCs w:val="8"/>
                                    </w:rPr>
                                  </w:pPr>
                                  <w:r>
                                    <w:rPr>
                                      <w:rFonts w:cs="Garamond" w:ascii="Garamond" w:hAnsi="Garamond"/>
                                      <w:sz w:val="8"/>
                                      <w:szCs w:val="8"/>
                                    </w:rPr>
                                  </w:r>
                                </w:p>
                              </w:tc>
                            </w:tr>
                          </w:tbl>
                        </w:txbxContent>
                      </wps:txbx>
                      <wps:bodyPr anchor="t" lIns="0" tIns="0" rIns="0" bIns="0">
                        <a:noAutofit/>
                      </wps:bodyPr>
                    </wps:wsp>
                  </a:graphicData>
                </a:graphic>
              </wp:anchor>
            </w:drawing>
          </mc:Choice>
          <mc:Fallback>
            <w:pict>
              <v:rect fillcolor="#FFFFFF" style="position:absolute;rotation:0;width:167.4pt;height:258.45pt;mso-wrap-distance-left:9pt;mso-wrap-distance-right:0pt;mso-wrap-distance-top:0pt;mso-wrap-distance-bottom:0pt;margin-top:-38.9pt;mso-position-vertical-relative:text;margin-left:272.05pt;mso-position-horizontal:right;mso-position-horizontal-relative:margin">
                <v:fill opacity="0f"/>
                <v:textbox>
                  <w:txbxContent>
                    <w:tbl>
                      <w:tblPr>
                        <w:tblW w:w="3348" w:type="dxa"/>
                        <w:jc w:val="start"/>
                        <w:tblInd w:w="0" w:type="dxa"/>
                        <w:tblBorders/>
                        <w:tblCellMar>
                          <w:top w:w="0" w:type="dxa"/>
                          <w:start w:w="108" w:type="dxa"/>
                          <w:bottom w:w="0" w:type="dxa"/>
                          <w:end w:w="108" w:type="dxa"/>
                        </w:tblCellMar>
                      </w:tblPr>
                      <w:tblGrid>
                        <w:gridCol w:w="3348"/>
                      </w:tblGrid>
                      <w:tr>
                        <w:trPr/>
                        <w:tc>
                          <w:tcPr>
                            <w:tcW w:w="3348" w:type="dxa"/>
                            <w:tcBorders/>
                            <w:shd w:fill="auto" w:val="clear"/>
                          </w:tcPr>
                          <w:p>
                            <w:pPr>
                              <w:pStyle w:val="Normal"/>
                              <w:ind w:end="-31" w:hanging="0"/>
                              <w:jc w:val="both"/>
                              <w:rPr>
                                <w:rFonts w:ascii="Garamond" w:hAnsi="Garamond" w:cs="Garamond"/>
                                <w:sz w:val="22"/>
                                <w:szCs w:val="22"/>
                              </w:rPr>
                            </w:pPr>
                            <w:r>
                              <w:rPr>
                                <w:rFonts w:cs="Garamond" w:ascii="Garamond" w:hAnsi="Garamond"/>
                                <w:sz w:val="22"/>
                                <w:szCs w:val="22"/>
                              </w:rPr>
                              <w:drawing>
                                <wp:inline distT="0" distB="0" distL="0" distR="0">
                                  <wp:extent cx="2002155" cy="2410460"/>
                                  <wp:effectExtent l="0" t="0" r="0" b="0"/>
                                  <wp:docPr id="15" name="Изображение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8" descr="" title=""/>
                                          <pic:cNvPicPr>
                                            <a:picLocks noChangeAspect="1" noChangeArrowheads="1"/>
                                          </pic:cNvPicPr>
                                        </pic:nvPicPr>
                                        <pic:blipFill>
                                          <a:blip r:embed="rId10"/>
                                          <a:srcRect l="-3" t="-2" r="-3" b="-2"/>
                                          <a:stretch>
                                            <a:fillRect/>
                                          </a:stretch>
                                        </pic:blipFill>
                                        <pic:spPr bwMode="auto">
                                          <a:xfrm>
                                            <a:off x="0" y="0"/>
                                            <a:ext cx="2002155" cy="2410460"/>
                                          </a:xfrm>
                                          <a:prstGeom prst="rect">
                                            <a:avLst/>
                                          </a:prstGeom>
                                        </pic:spPr>
                                      </pic:pic>
                                    </a:graphicData>
                                  </a:graphic>
                                </wp:inline>
                              </w:drawing>
                            </w:r>
                          </w:p>
                          <w:p>
                            <w:pPr>
                              <w:pStyle w:val="Normal"/>
                              <w:ind w:end="-31" w:hanging="0"/>
                              <w:jc w:val="center"/>
                              <w:rPr/>
                            </w:pPr>
                            <w:r>
                              <w:rPr>
                                <w:rFonts w:cs="Garamond" w:ascii="Garamond" w:hAnsi="Garamond"/>
                                <w:i/>
                                <w:sz w:val="22"/>
                                <w:szCs w:val="22"/>
                              </w:rPr>
                              <w:t>Илл. 5</w:t>
                            </w:r>
                            <w:r>
                              <w:rPr>
                                <w:rFonts w:cs="Garamond" w:ascii="Garamond" w:hAnsi="Garamond"/>
                                <w:sz w:val="22"/>
                                <w:szCs w:val="22"/>
                              </w:rPr>
                              <w:t xml:space="preserve">. Ваза — североафриканская </w:t>
                            </w:r>
                            <w:r>
                              <w:rPr>
                                <w:rFonts w:cs="Garamond" w:ascii="Garamond" w:hAnsi="Garamond"/>
                                <w:i/>
                                <w:sz w:val="22"/>
                                <w:szCs w:val="22"/>
                              </w:rPr>
                              <w:t>сигиллата</w:t>
                            </w:r>
                            <w:r>
                              <w:rPr>
                                <w:rFonts w:cs="Garamond" w:ascii="Garamond" w:hAnsi="Garamond"/>
                                <w:sz w:val="22"/>
                                <w:szCs w:val="22"/>
                              </w:rPr>
                              <w:t xml:space="preserve"> середины </w:t>
                            </w:r>
                            <w:r>
                              <w:rPr>
                                <w:rFonts w:cs="Garamond" w:ascii="Garamond" w:hAnsi="Garamond"/>
                                <w:sz w:val="22"/>
                                <w:szCs w:val="22"/>
                                <w:lang w:val="en-US"/>
                              </w:rPr>
                              <w:t>III</w:t>
                            </w:r>
                            <w:r>
                              <w:rPr>
                                <w:rFonts w:cs="Garamond" w:ascii="Garamond" w:hAnsi="Garamond"/>
                                <w:sz w:val="22"/>
                                <w:szCs w:val="22"/>
                              </w:rPr>
                              <w:t> в. н. э. из музея Бардо, Тунис (</w:t>
                            </w:r>
                            <w:r>
                              <w:rPr>
                                <w:rFonts w:cs="Garamond" w:ascii="Garamond" w:hAnsi="Garamond"/>
                                <w:i/>
                                <w:sz w:val="22"/>
                                <w:szCs w:val="22"/>
                              </w:rPr>
                              <w:t>фото автора</w:t>
                            </w:r>
                            <w:r>
                              <w:rPr>
                                <w:rFonts w:cs="Garamond" w:ascii="Garamond" w:hAnsi="Garamond"/>
                                <w:sz w:val="22"/>
                                <w:szCs w:val="22"/>
                              </w:rPr>
                              <w:t>)</w:t>
                            </w:r>
                          </w:p>
                          <w:p>
                            <w:pPr>
                              <w:pStyle w:val="Normal"/>
                              <w:ind w:end="-31" w:hanging="0"/>
                              <w:rPr>
                                <w:rFonts w:ascii="Garamond" w:hAnsi="Garamond" w:cs="Garamond"/>
                                <w:sz w:val="8"/>
                                <w:szCs w:val="8"/>
                              </w:rPr>
                            </w:pPr>
                            <w:r>
                              <w:rPr>
                                <w:rFonts w:cs="Garamond" w:ascii="Garamond" w:hAnsi="Garamond"/>
                                <w:sz w:val="8"/>
                                <w:szCs w:val="8"/>
                              </w:rPr>
                            </w:r>
                          </w:p>
                        </w:tc>
                      </w:tr>
                    </w:tbl>
                  </w:txbxContent>
                </v:textbox>
                <w10:wrap type="square"/>
              </v:rect>
            </w:pict>
          </mc:Fallback>
        </mc:AlternateContent>
      </w:r>
    </w:p>
    <w:p>
      <w:pPr>
        <w:pStyle w:val="Normal"/>
        <w:ind w:end="-31" w:firstLine="708"/>
        <w:jc w:val="both"/>
        <w:rPr/>
      </w:pPr>
      <w:r>
        <w:rPr>
          <w:rFonts w:cs="Garamond" w:ascii="Garamond" w:hAnsi="Garamond"/>
          <w:sz w:val="24"/>
          <w:szCs w:val="24"/>
        </w:rPr>
        <w:t>Несмотря на индустриальную эпоху, многое в набёльских гончарнях делается традиционными способами, хотя заметен и прогресс: широко используются машины для измельчения глиняной массы, ножной гончарный круг теперь имеет электропривод. Тем не менее собственно процесс производства керамики остался таким же, как и в древности. Из готовой глиняной массы мастер делает составные части сосудов (отдельно тулово, отдельно донца и горлышки), которые соединяют и доделывают до полных форм после сушки (</w:t>
      </w:r>
      <w:r>
        <w:rPr>
          <w:rFonts w:cs="Garamond" w:ascii="Garamond" w:hAnsi="Garamond"/>
          <w:i/>
          <w:sz w:val="24"/>
          <w:szCs w:val="24"/>
        </w:rPr>
        <w:t>илл. 7</w:t>
      </w:r>
      <w:r>
        <w:rPr>
          <w:rFonts w:cs="Garamond" w:ascii="Garamond" w:hAnsi="Garamond"/>
          <w:sz w:val="24"/>
          <w:szCs w:val="24"/>
        </w:rPr>
        <w:t>). Такие «полуфабрикаты» кувшинов, горшков и чанов подчас занимают все свободное пространство мастерской (</w:t>
      </w:r>
      <w:r>
        <w:rPr>
          <w:rFonts w:cs="Garamond" w:ascii="Garamond" w:hAnsi="Garamond"/>
          <w:i/>
          <w:sz w:val="24"/>
          <w:szCs w:val="24"/>
        </w:rPr>
        <w:t>илл. 8</w:t>
      </w:r>
      <w:r>
        <w:rPr>
          <w:rFonts w:cs="Garamond" w:ascii="Garamond" w:hAnsi="Garamond"/>
          <w:sz w:val="24"/>
          <w:szCs w:val="24"/>
        </w:rPr>
        <w:t>). Ассортимент крайне разнообразен: здесь и вычурные псевдо-амфоры, пользующиеся спросом у владельцев гостиниц и вилл, особенно в условиях расширения туристической индустрии Туниса. Есть и обычная бытовая керамика, представленная в основном жаровнями, мисками-</w:t>
      </w:r>
      <w:r>
        <w:rPr>
          <w:rFonts w:cs="Garamond" w:ascii="Garamond" w:hAnsi="Garamond"/>
          <w:i/>
          <w:sz w:val="24"/>
          <w:szCs w:val="24"/>
        </w:rPr>
        <w:t>таджинами</w:t>
      </w:r>
      <w:r>
        <w:rPr>
          <w:rFonts w:cs="Garamond" w:ascii="Garamond" w:hAnsi="Garamond"/>
          <w:sz w:val="24"/>
          <w:szCs w:val="24"/>
        </w:rPr>
        <w:t xml:space="preserve"> с коническими крышками для кускуса и традиционного магрибинского одноименного блюда, а также большими кувшинами без ручек (от 60 до 100 см высотой и объемом от 25 до 100 литров), называющимися </w:t>
      </w:r>
      <w:r>
        <w:rPr>
          <w:rFonts w:cs="Garamond" w:ascii="Garamond" w:hAnsi="Garamond"/>
          <w:i/>
          <w:sz w:val="24"/>
          <w:szCs w:val="24"/>
        </w:rPr>
        <w:t xml:space="preserve">хабия </w:t>
      </w:r>
      <w:r>
        <w:rPr>
          <w:rFonts w:cs="Garamond" w:ascii="Garamond" w:hAnsi="Garamond"/>
          <w:sz w:val="24"/>
          <w:szCs w:val="24"/>
        </w:rPr>
        <w:t>и использующимися для хранения зерна или фиников. Сосуды-</w:t>
      </w:r>
      <w:r>
        <w:rPr>
          <w:rFonts w:cs="Garamond" w:ascii="Garamond" w:hAnsi="Garamond"/>
          <w:i/>
          <w:sz w:val="24"/>
          <w:szCs w:val="24"/>
        </w:rPr>
        <w:t>зиры</w:t>
      </w:r>
      <w:r>
        <w:rPr>
          <w:rFonts w:cs="Garamond" w:ascii="Garamond" w:hAnsi="Garamond"/>
          <w:sz w:val="24"/>
          <w:szCs w:val="24"/>
        </w:rPr>
        <w:t xml:space="preserve"> с четырьмя ручками, имеющие меньший объем, чаще всего покрываются влагонепроницаемой поливой, что позволяет использовать их для хранения мяса, оливок, топленого масла и меда. </w:t>
      </w:r>
      <w:r>
        <w:rPr>
          <w:rFonts w:cs="Garamond" w:ascii="Garamond" w:hAnsi="Garamond"/>
          <w:i/>
          <w:sz w:val="24"/>
          <w:szCs w:val="24"/>
        </w:rPr>
        <w:t>Хабии</w:t>
      </w:r>
      <w:r>
        <w:rPr>
          <w:rFonts w:cs="Garamond" w:ascii="Garamond" w:hAnsi="Garamond"/>
          <w:sz w:val="24"/>
          <w:szCs w:val="24"/>
        </w:rPr>
        <w:t xml:space="preserve"> и </w:t>
      </w:r>
      <w:r>
        <w:rPr>
          <w:rFonts w:cs="Garamond" w:ascii="Garamond" w:hAnsi="Garamond"/>
          <w:i/>
          <w:sz w:val="24"/>
          <w:szCs w:val="24"/>
        </w:rPr>
        <w:t>зиры</w:t>
      </w:r>
      <w:r>
        <w:rPr>
          <w:rFonts w:cs="Garamond" w:ascii="Garamond" w:hAnsi="Garamond"/>
          <w:sz w:val="24"/>
          <w:szCs w:val="24"/>
        </w:rPr>
        <w:t xml:space="preserve"> можно встретить не только по всему Тунису, но и в других регионах Северной Африки: например, в Египте, в гончарнях Ком-Аушима (Фаюмский оазис) изготовляют аналогичные сосуды.</w:t>
      </w:r>
    </w:p>
    <w:p>
      <w:pPr>
        <w:pStyle w:val="Normal"/>
        <w:ind w:end="-31" w:firstLine="708"/>
        <w:jc w:val="both"/>
        <w:rPr/>
      </w:pPr>
      <w:r>
        <w:rPr>
          <w:rFonts w:cs="Garamond" w:ascii="Garamond" w:hAnsi="Garamond"/>
          <w:sz w:val="24"/>
          <w:szCs w:val="24"/>
        </w:rPr>
        <w:t xml:space="preserve">Как и в древности, из местной набёльской глины производят только толстостенную керамику больших размеров, в то время как небольшие сосуды, тонкостенные вазы, блюда, столовую посуду и сувениры делают из более тонкой и качественной глины, привезенной из центрального Туниса — т. е. из тех мест, где в римское время делали высококачественную краснолаковую керамику — африканскую разновидность римской </w:t>
      </w:r>
      <w:r>
        <w:rPr>
          <w:rFonts w:cs="Garamond" w:ascii="Garamond" w:hAnsi="Garamond"/>
          <w:i/>
          <w:sz w:val="24"/>
          <w:szCs w:val="24"/>
        </w:rPr>
        <w:t>терра</w:t>
      </w:r>
      <w:r>
        <w:rPr>
          <w:rFonts w:cs="Garamond" w:ascii="Garamond" w:hAnsi="Garamond"/>
          <w:sz w:val="24"/>
          <w:szCs w:val="24"/>
        </w:rPr>
        <w:t xml:space="preserve"> </w:t>
      </w:r>
      <w:r>
        <w:rPr>
          <w:rFonts w:cs="Garamond" w:ascii="Garamond" w:hAnsi="Garamond"/>
          <w:i/>
          <w:sz w:val="24"/>
          <w:szCs w:val="24"/>
        </w:rPr>
        <w:t>сигиллата</w:t>
      </w:r>
      <w:r>
        <w:rPr>
          <w:rFonts w:cs="Garamond" w:ascii="Garamond" w:hAnsi="Garamond"/>
          <w:sz w:val="24"/>
          <w:szCs w:val="24"/>
        </w:rPr>
        <w:t>.</w:t>
      </w:r>
    </w:p>
    <w:p>
      <w:pPr>
        <w:pStyle w:val="Normal"/>
        <w:ind w:end="-31" w:firstLine="708"/>
        <w:jc w:val="both"/>
        <w:rPr/>
      </w:pPr>
      <w:r>
        <w:rPr>
          <w:rFonts w:cs="Garamond" w:ascii="Garamond" w:hAnsi="Garamond"/>
          <w:sz w:val="24"/>
          <w:szCs w:val="24"/>
        </w:rPr>
        <w:t>В самом центре Набёля располагается множество лавок, специализирующихся на продаже керамики, причем в наиболее крупных из них в подвальных помещениях обустроены целые фабрики, производящие продукцию, продающуюся этажом выше. Весь процесс производства от формовки и росписи до обжига происходит здесь же (</w:t>
      </w:r>
      <w:r>
        <w:rPr>
          <w:rFonts w:cs="Garamond" w:ascii="Garamond" w:hAnsi="Garamond"/>
          <w:i/>
          <w:sz w:val="24"/>
          <w:szCs w:val="24"/>
        </w:rPr>
        <w:t>илл. 9</w:t>
      </w:r>
      <w:r>
        <w:rPr>
          <w:rFonts w:cs="Garamond" w:ascii="Garamond" w:hAnsi="Garamond"/>
          <w:sz w:val="24"/>
          <w:szCs w:val="24"/>
        </w:rPr>
        <w:t xml:space="preserve">). Сюда же привозят и более крупные уже готовые сосуды из гончарного квартала — небольшие </w:t>
      </w:r>
      <w:r>
        <w:rPr>
          <w:rFonts w:cs="Garamond" w:ascii="Garamond" w:hAnsi="Garamond"/>
          <w:i/>
          <w:sz w:val="24"/>
          <w:szCs w:val="24"/>
        </w:rPr>
        <w:t>зиры</w:t>
      </w:r>
      <w:r>
        <w:rPr>
          <w:rFonts w:cs="Garamond" w:ascii="Garamond" w:hAnsi="Garamond"/>
          <w:sz w:val="24"/>
          <w:szCs w:val="24"/>
        </w:rPr>
        <w:t xml:space="preserve">, вазы и </w:t>
      </w:r>
      <w:r>
        <w:rPr>
          <w:rFonts w:cs="Garamond" w:ascii="Garamond" w:hAnsi="Garamond"/>
          <w:i/>
          <w:sz w:val="24"/>
          <w:szCs w:val="24"/>
        </w:rPr>
        <w:t>таджины</w:t>
      </w:r>
      <w:r>
        <w:rPr>
          <w:rFonts w:cs="Garamond" w:ascii="Garamond" w:hAnsi="Garamond"/>
          <w:sz w:val="24"/>
          <w:szCs w:val="24"/>
        </w:rPr>
        <w:t>, где они расписываются, покрываются глазурью и повторно обжигаются. В художественных мотивах доминируют геометрические композиции и растительные сюжеты, что роднит их с традиционной исламской глазурованной керамикой, наиболее известной по продукции турецкого Изника. Реже встречается полихромный декор с использованием средиземноморской водной фауны — рыб, каракатиц, морских звезд.</w:t>
      </w:r>
    </w:p>
    <w:p>
      <w:pPr>
        <w:pStyle w:val="Normal"/>
        <w:ind w:end="-31" w:hanging="0"/>
        <w:jc w:val="both"/>
        <w:rPr>
          <w:rFonts w:ascii="Garamond" w:hAnsi="Garamond" w:cs="Garamond"/>
          <w:sz w:val="16"/>
          <w:szCs w:val="16"/>
        </w:rPr>
      </w:pPr>
      <w:r>
        <w:rPr>
          <w:rFonts w:cs="Garamond" w:ascii="Garamond" w:hAnsi="Garamond"/>
          <w:sz w:val="16"/>
          <w:szCs w:val="16"/>
        </w:rPr>
      </w:r>
    </w:p>
    <w:p>
      <w:pPr>
        <w:pStyle w:val="Normal"/>
        <w:ind w:end="-31" w:hanging="0"/>
        <w:jc w:val="center"/>
        <w:rPr>
          <w:rFonts w:ascii="Garamond" w:hAnsi="Garamond" w:cs="Garamond"/>
          <w:sz w:val="24"/>
          <w:szCs w:val="24"/>
        </w:rPr>
      </w:pPr>
      <w:r>
        <w:rPr>
          <w:rFonts w:cs="Garamond" w:ascii="Garamond" w:hAnsi="Garamond"/>
          <w:sz w:val="24"/>
          <w:szCs w:val="24"/>
        </w:rPr>
        <w:drawing>
          <wp:inline distT="0" distB="0" distL="0" distR="0">
            <wp:extent cx="5549265" cy="2892425"/>
            <wp:effectExtent l="0" t="0" r="0" b="0"/>
            <wp:docPr id="16" name="Изображение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9" descr="" title=""/>
                    <pic:cNvPicPr>
                      <a:picLocks noChangeAspect="1" noChangeArrowheads="1"/>
                    </pic:cNvPicPr>
                  </pic:nvPicPr>
                  <pic:blipFill>
                    <a:blip r:embed="rId11"/>
                    <a:srcRect l="0" t="6574" r="0" b="-1"/>
                    <a:stretch>
                      <a:fillRect/>
                    </a:stretch>
                  </pic:blipFill>
                  <pic:spPr bwMode="auto">
                    <a:xfrm>
                      <a:off x="0" y="0"/>
                      <a:ext cx="5549265" cy="2892425"/>
                    </a:xfrm>
                    <a:prstGeom prst="rect">
                      <a:avLst/>
                    </a:prstGeom>
                  </pic:spPr>
                </pic:pic>
              </a:graphicData>
            </a:graphic>
          </wp:inline>
        </w:drawing>
      </w:r>
    </w:p>
    <w:p>
      <w:pPr>
        <w:pStyle w:val="Normal"/>
        <w:ind w:end="-31" w:hanging="0"/>
        <w:jc w:val="center"/>
        <w:rPr/>
      </w:pPr>
      <w:r>
        <w:rPr>
          <w:rFonts w:cs="Garamond" w:ascii="Garamond" w:hAnsi="Garamond"/>
          <w:i/>
          <w:sz w:val="22"/>
          <w:szCs w:val="22"/>
        </w:rPr>
        <w:t>Илл. 6</w:t>
      </w:r>
      <w:r>
        <w:rPr>
          <w:rFonts w:cs="Garamond" w:ascii="Garamond" w:hAnsi="Garamond"/>
          <w:sz w:val="22"/>
          <w:szCs w:val="22"/>
        </w:rPr>
        <w:t>. Залежи гончарных глин в Набёле, 2008 г. (</w:t>
      </w:r>
      <w:r>
        <w:rPr>
          <w:rFonts w:cs="Garamond" w:ascii="Garamond" w:hAnsi="Garamond"/>
          <w:i/>
          <w:sz w:val="22"/>
          <w:szCs w:val="22"/>
        </w:rPr>
        <w:t>фото автора</w:t>
      </w:r>
      <w:r>
        <w:rPr>
          <w:rFonts w:cs="Garamond" w:ascii="Garamond" w:hAnsi="Garamond"/>
          <w:sz w:val="22"/>
          <w:szCs w:val="22"/>
        </w:rPr>
        <w:t>)</w:t>
      </w:r>
    </w:p>
    <w:p>
      <w:pPr>
        <w:pStyle w:val="Normal"/>
        <w:ind w:end="-31" w:hanging="0"/>
        <w:jc w:val="both"/>
        <w:rPr>
          <w:rFonts w:ascii="Garamond" w:hAnsi="Garamond" w:cs="Garamond"/>
          <w:sz w:val="16"/>
          <w:szCs w:val="16"/>
        </w:rPr>
      </w:pPr>
      <w:r>
        <w:rPr>
          <w:rFonts w:cs="Garamond" w:ascii="Garamond" w:hAnsi="Garamond"/>
          <w:sz w:val="16"/>
          <w:szCs w:val="16"/>
        </w:rPr>
      </w:r>
    </w:p>
    <w:tbl>
      <w:tblPr>
        <w:tblW w:w="8928" w:type="dxa"/>
        <w:jc w:val="start"/>
        <w:tblInd w:w="-108" w:type="dxa"/>
        <w:tblBorders/>
        <w:tblCellMar>
          <w:top w:w="0" w:type="dxa"/>
          <w:start w:w="108" w:type="dxa"/>
          <w:bottom w:w="0" w:type="dxa"/>
          <w:end w:w="108" w:type="dxa"/>
        </w:tblCellMar>
      </w:tblPr>
      <w:tblGrid>
        <w:gridCol w:w="2448"/>
        <w:gridCol w:w="2016"/>
        <w:gridCol w:w="847"/>
        <w:gridCol w:w="1277"/>
        <w:gridCol w:w="2340"/>
      </w:tblGrid>
      <w:tr>
        <w:trPr/>
        <w:tc>
          <w:tcPr>
            <w:tcW w:w="5311" w:type="dxa"/>
            <w:gridSpan w:val="3"/>
            <w:tcBorders/>
            <w:shd w:fill="auto" w:val="clear"/>
          </w:tcPr>
          <w:p>
            <w:pPr>
              <w:pStyle w:val="Normal"/>
              <w:ind w:end="-31" w:hanging="0"/>
              <w:jc w:val="both"/>
              <w:rPr>
                <w:rFonts w:ascii="Garamond" w:hAnsi="Garamond" w:cs="Garamond"/>
                <w:sz w:val="22"/>
                <w:szCs w:val="22"/>
              </w:rPr>
            </w:pPr>
            <w:r>
              <w:rPr>
                <w:rFonts w:eastAsia="Garamond" w:cs="Garamond" w:ascii="Garamond" w:hAnsi="Garamond"/>
                <w:sz w:val="16"/>
                <w:szCs w:val="16"/>
              </w:rPr>
              <w:t xml:space="preserve"> </w:t>
            </w:r>
            <w:r>
              <w:rPr>
                <w:rFonts w:cs="Garamond" w:ascii="Garamond" w:hAnsi="Garamond"/>
                <w:sz w:val="22"/>
                <w:szCs w:val="22"/>
              </w:rPr>
              <w:drawing>
                <wp:inline distT="0" distB="0" distL="0" distR="0">
                  <wp:extent cx="2947035" cy="2867025"/>
                  <wp:effectExtent l="0" t="0" r="0" b="0"/>
                  <wp:docPr id="17" name="Изображение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10" descr="" title=""/>
                          <pic:cNvPicPr>
                            <a:picLocks noChangeAspect="1" noChangeArrowheads="1"/>
                          </pic:cNvPicPr>
                        </pic:nvPicPr>
                        <pic:blipFill>
                          <a:blip r:embed="rId12"/>
                          <a:srcRect l="-1" t="-1" r="-1" b="1800"/>
                          <a:stretch>
                            <a:fillRect/>
                          </a:stretch>
                        </pic:blipFill>
                        <pic:spPr bwMode="auto">
                          <a:xfrm>
                            <a:off x="0" y="0"/>
                            <a:ext cx="2947035" cy="2867025"/>
                          </a:xfrm>
                          <a:prstGeom prst="rect">
                            <a:avLst/>
                          </a:prstGeom>
                        </pic:spPr>
                      </pic:pic>
                    </a:graphicData>
                  </a:graphic>
                </wp:inline>
              </w:drawing>
            </w:r>
          </w:p>
          <w:p>
            <w:pPr>
              <w:pStyle w:val="Normal"/>
              <w:ind w:end="-31" w:hanging="0"/>
              <w:jc w:val="center"/>
              <w:rPr/>
            </w:pPr>
            <w:r>
              <w:rPr>
                <w:rFonts w:cs="Garamond" w:ascii="Garamond" w:hAnsi="Garamond"/>
                <w:i/>
                <w:sz w:val="22"/>
                <w:szCs w:val="22"/>
              </w:rPr>
              <w:t>Илл. 7</w:t>
            </w:r>
            <w:r>
              <w:rPr>
                <w:rFonts w:cs="Garamond" w:ascii="Garamond" w:hAnsi="Garamond"/>
                <w:sz w:val="22"/>
                <w:szCs w:val="22"/>
              </w:rPr>
              <w:t>. Изготовление крупных сосудов</w:t>
            </w:r>
          </w:p>
          <w:p>
            <w:pPr>
              <w:pStyle w:val="Normal"/>
              <w:ind w:end="-31" w:hanging="0"/>
              <w:jc w:val="center"/>
              <w:rPr/>
            </w:pPr>
            <w:r>
              <w:rPr>
                <w:rFonts w:cs="Garamond" w:ascii="Garamond" w:hAnsi="Garamond"/>
                <w:sz w:val="22"/>
                <w:szCs w:val="22"/>
              </w:rPr>
              <w:t>под сенью портретов президента З. Бен Али в гончарном квартале Набёля, 2008 г. (</w:t>
            </w:r>
            <w:r>
              <w:rPr>
                <w:rFonts w:cs="Garamond" w:ascii="Garamond" w:hAnsi="Garamond"/>
                <w:i/>
                <w:sz w:val="22"/>
                <w:szCs w:val="22"/>
              </w:rPr>
              <w:t>фото автора</w:t>
            </w:r>
            <w:r>
              <w:rPr>
                <w:rFonts w:cs="Garamond" w:ascii="Garamond" w:hAnsi="Garamond"/>
                <w:sz w:val="22"/>
                <w:szCs w:val="22"/>
              </w:rPr>
              <w:t>)</w:t>
            </w:r>
          </w:p>
        </w:tc>
        <w:tc>
          <w:tcPr>
            <w:tcW w:w="3617" w:type="dxa"/>
            <w:gridSpan w:val="2"/>
            <w:tcBorders/>
            <w:shd w:fill="auto" w:val="clear"/>
          </w:tcPr>
          <w:p>
            <w:pPr>
              <w:pStyle w:val="Normal"/>
              <w:ind w:end="-108" w:hanging="0"/>
              <w:jc w:val="center"/>
              <w:rPr>
                <w:rFonts w:ascii="Garamond" w:hAnsi="Garamond" w:cs="Garamond"/>
                <w:sz w:val="22"/>
                <w:szCs w:val="22"/>
              </w:rPr>
            </w:pPr>
            <w:r>
              <w:rPr>
                <w:rFonts w:cs="Garamond" w:ascii="Garamond" w:hAnsi="Garamond"/>
                <w:sz w:val="22"/>
                <w:szCs w:val="22"/>
              </w:rPr>
              <w:drawing>
                <wp:inline distT="0" distB="0" distL="0" distR="0">
                  <wp:extent cx="2178685" cy="2853690"/>
                  <wp:effectExtent l="0" t="0" r="0" b="0"/>
                  <wp:docPr id="18" name="Изображение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1" descr="" title=""/>
                          <pic:cNvPicPr>
                            <a:picLocks noChangeAspect="1" noChangeArrowheads="1"/>
                          </pic:cNvPicPr>
                        </pic:nvPicPr>
                        <pic:blipFill>
                          <a:blip r:embed="rId13"/>
                          <a:srcRect l="-2" t="-1" r="-2" b="-1"/>
                          <a:stretch>
                            <a:fillRect/>
                          </a:stretch>
                        </pic:blipFill>
                        <pic:spPr bwMode="auto">
                          <a:xfrm>
                            <a:off x="0" y="0"/>
                            <a:ext cx="2178685" cy="2853690"/>
                          </a:xfrm>
                          <a:prstGeom prst="rect">
                            <a:avLst/>
                          </a:prstGeom>
                        </pic:spPr>
                      </pic:pic>
                    </a:graphicData>
                  </a:graphic>
                </wp:inline>
              </w:drawing>
            </w:r>
          </w:p>
          <w:p>
            <w:pPr>
              <w:pStyle w:val="Normal"/>
              <w:ind w:end="-31" w:hanging="0"/>
              <w:jc w:val="center"/>
              <w:rPr/>
            </w:pPr>
            <w:r>
              <w:rPr>
                <w:rFonts w:cs="Garamond" w:ascii="Garamond" w:hAnsi="Garamond"/>
                <w:i/>
                <w:sz w:val="22"/>
                <w:szCs w:val="22"/>
              </w:rPr>
              <w:t>Илл. 8</w:t>
            </w:r>
            <w:r>
              <w:rPr>
                <w:rFonts w:cs="Garamond" w:ascii="Garamond" w:hAnsi="Garamond"/>
                <w:sz w:val="22"/>
                <w:szCs w:val="22"/>
              </w:rPr>
              <w:t>. Подсыхающие сосуды и их «полуфабрикаты», Набёль, 2008 г. (</w:t>
            </w:r>
            <w:r>
              <w:rPr>
                <w:rFonts w:cs="Garamond" w:ascii="Garamond" w:hAnsi="Garamond"/>
                <w:i/>
                <w:sz w:val="22"/>
                <w:szCs w:val="22"/>
              </w:rPr>
              <w:t>фото автора</w:t>
            </w:r>
            <w:r>
              <w:rPr>
                <w:rFonts w:cs="Garamond" w:ascii="Garamond" w:hAnsi="Garamond"/>
                <w:sz w:val="22"/>
                <w:szCs w:val="22"/>
              </w:rPr>
              <w:t>)</w:t>
            </w:r>
          </w:p>
        </w:tc>
      </w:tr>
      <w:tr>
        <w:trPr/>
        <w:tc>
          <w:tcPr>
            <w:tcW w:w="2448" w:type="dxa"/>
            <w:tcBorders/>
            <w:shd w:fill="auto" w:val="clear"/>
          </w:tcPr>
          <w:p>
            <w:pPr>
              <w:pStyle w:val="Normal"/>
              <w:snapToGrid w:val="false"/>
              <w:rPr>
                <w:rFonts w:ascii="Garamond" w:hAnsi="Garamond" w:cs="Garamond"/>
                <w:sz w:val="24"/>
                <w:szCs w:val="24"/>
              </w:rPr>
            </w:pPr>
            <w:r>
              <w:rPr>
                <w:rFonts w:cs="Garamond" w:ascii="Garamond" w:hAnsi="Garamond"/>
                <w:sz w:val="24"/>
                <w:szCs w:val="24"/>
              </w:rPr>
            </w:r>
          </w:p>
        </w:tc>
        <w:tc>
          <w:tcPr>
            <w:tcW w:w="4140" w:type="dxa"/>
            <w:gridSpan w:val="3"/>
            <w:tcBorders/>
            <w:shd w:fill="auto" w:val="clear"/>
          </w:tcPr>
          <w:p>
            <w:pPr>
              <w:pStyle w:val="Style31"/>
              <w:rPr/>
            </w:pPr>
            <w:r>
              <w:rPr/>
            </w:r>
          </w:p>
        </w:tc>
        <w:tc>
          <w:tcPr>
            <w:tcW w:w="2340" w:type="dxa"/>
            <w:tcBorders/>
            <w:shd w:fill="auto" w:val="clear"/>
            <w:tcMar>
              <w:start w:w="0" w:type="dxa"/>
              <w:end w:w="0" w:type="dxa"/>
            </w:tcMar>
          </w:tcPr>
          <w:p>
            <w:pPr>
              <w:pStyle w:val="Normal"/>
              <w:rPr/>
            </w:pPr>
            <w:r>
              <w:rPr/>
            </w:r>
          </w:p>
        </w:tc>
      </w:tr>
      <w:tr>
        <w:trPr/>
        <w:tc>
          <w:tcPr>
            <w:tcW w:w="4464" w:type="dxa"/>
            <w:gridSpan w:val="2"/>
            <w:tcBorders/>
            <w:shd w:fill="auto" w:val="clear"/>
            <w:tcMar>
              <w:start w:w="0" w:type="dxa"/>
              <w:end w:w="0" w:type="dxa"/>
            </w:tcMar>
          </w:tcPr>
          <w:p>
            <w:pPr>
              <w:pStyle w:val="Style31"/>
              <w:rPr/>
            </w:pPr>
            <w:r>
              <w:rPr/>
            </w:r>
          </w:p>
        </w:tc>
        <w:tc>
          <w:tcPr>
            <w:tcW w:w="4464" w:type="dxa"/>
            <w:gridSpan w:val="3"/>
            <w:tcBorders/>
            <w:shd w:fill="auto" w:val="clear"/>
            <w:tcMar>
              <w:start w:w="0" w:type="dxa"/>
              <w:end w:w="0" w:type="dxa"/>
            </w:tcMar>
          </w:tcPr>
          <w:p>
            <w:pPr>
              <w:pStyle w:val="Style31"/>
              <w:rPr/>
            </w:pPr>
            <w:r>
              <w:rPr/>
            </w:r>
          </w:p>
        </w:tc>
      </w:tr>
    </w:tbl>
    <w:p>
      <w:pPr>
        <w:pStyle w:val="Normal"/>
        <w:ind w:end="-31" w:firstLine="708"/>
        <w:jc w:val="both"/>
        <w:rPr/>
      </w:pPr>
      <w:r>
        <w:rPr>
          <w:rFonts w:cs="Garamond" w:ascii="Garamond" w:hAnsi="Garamond"/>
          <w:sz w:val="24"/>
          <w:szCs w:val="24"/>
        </w:rPr>
        <w:t xml:space="preserve">Все эти изделия наводняют затем восточные базары и сувенирные лавки Набёля и соседствующего с ним Хаммамета, а отдельные партии достигают столицы на севере и Суса и Монастира на юге. Покупая их, туристы из разных стран не подозревают, что держат в руках изделия, сочетающие в себе современные арабские и древние римские традиции, а их предками являются выставленные в тунисских музеях (прежде всего, в музее Бардо в городе Тунисе) африканские </w:t>
      </w:r>
      <w:r>
        <w:rPr>
          <w:rFonts w:cs="Garamond" w:ascii="Garamond" w:hAnsi="Garamond"/>
          <w:i/>
          <w:sz w:val="24"/>
          <w:szCs w:val="24"/>
        </w:rPr>
        <w:t>сигиллаты</w:t>
      </w:r>
      <w:r>
        <w:rPr>
          <w:rFonts w:cs="Garamond" w:ascii="Garamond" w:hAnsi="Garamond"/>
          <w:sz w:val="24"/>
          <w:szCs w:val="24"/>
        </w:rPr>
        <w:t xml:space="preserve"> </w:t>
      </w:r>
      <w:r>
        <w:rPr>
          <w:rFonts w:cs="Garamond" w:ascii="Garamond" w:hAnsi="Garamond"/>
          <w:sz w:val="24"/>
          <w:szCs w:val="24"/>
          <w:lang w:val="en-US"/>
        </w:rPr>
        <w:t>I</w:t>
      </w:r>
      <w:r>
        <w:rPr>
          <w:rFonts w:cs="Garamond" w:ascii="Garamond" w:hAnsi="Garamond"/>
          <w:sz w:val="24"/>
          <w:szCs w:val="24"/>
        </w:rPr>
        <w:t>–</w:t>
      </w:r>
      <w:r>
        <w:rPr>
          <w:rFonts w:cs="Garamond" w:ascii="Garamond" w:hAnsi="Garamond"/>
          <w:sz w:val="24"/>
          <w:szCs w:val="24"/>
          <w:lang w:val="en-US"/>
        </w:rPr>
        <w:t>IV </w:t>
      </w:r>
      <w:r>
        <w:rPr>
          <w:rFonts w:cs="Garamond" w:ascii="Garamond" w:hAnsi="Garamond"/>
          <w:sz w:val="24"/>
          <w:szCs w:val="24"/>
        </w:rPr>
        <w:t>вв. н.</w:t>
      </w:r>
      <w:r>
        <w:rPr>
          <w:rFonts w:cs="Garamond" w:ascii="Garamond" w:hAnsi="Garamond"/>
          <w:sz w:val="24"/>
          <w:szCs w:val="24"/>
          <w:lang w:val="en-US"/>
        </w:rPr>
        <w:t> </w:t>
      </w:r>
      <w:r>
        <w:rPr>
          <w:rFonts w:cs="Garamond" w:ascii="Garamond" w:hAnsi="Garamond"/>
          <w:sz w:val="24"/>
          <w:szCs w:val="24"/>
        </w:rPr>
        <w:t>э.</w:t>
      </w:r>
      <w:r>
        <mc:AlternateContent>
          <mc:Choice Requires="wps">
            <w:drawing>
              <wp:anchor behindDoc="0" distT="0" distB="0" distL="114300" distR="0" simplePos="0" locked="0" layoutInCell="1" allowOverlap="1" relativeHeight="13">
                <wp:simplePos x="0" y="0"/>
                <wp:positionH relativeFrom="margin">
                  <wp:align>right</wp:align>
                </wp:positionH>
                <wp:positionV relativeFrom="paragraph">
                  <wp:posOffset>20320</wp:posOffset>
                </wp:positionV>
                <wp:extent cx="4183380" cy="5313045"/>
                <wp:effectExtent l="0" t="0" r="0" b="0"/>
                <wp:wrapSquare wrapText="bothSides"/>
                <wp:docPr id="19" name="Врезка4"/>
                <a:graphic xmlns:a="http://schemas.openxmlformats.org/drawingml/2006/main">
                  <a:graphicData uri="http://schemas.microsoft.com/office/word/2010/wordprocessingShape">
                    <wps:wsp>
                      <wps:cNvSpPr txBox="1"/>
                      <wps:spPr>
                        <a:xfrm>
                          <a:off x="0" y="0"/>
                          <a:ext cx="4183380" cy="5313045"/>
                        </a:xfrm>
                        <a:prstGeom prst="rect"/>
                        <a:solidFill>
                          <a:srgbClr val="FFFFFF">
                            <a:alpha val="0"/>
                          </a:srgbClr>
                        </a:solidFill>
                      </wps:spPr>
                      <wps:txbx>
                        <w:txbxContent>
                          <w:tbl>
                            <w:tblPr>
                              <w:tblW w:w="6588" w:type="dxa"/>
                              <w:jc w:val="start"/>
                              <w:tblInd w:w="0" w:type="dxa"/>
                              <w:tblBorders/>
                              <w:tblCellMar>
                                <w:top w:w="0" w:type="dxa"/>
                                <w:start w:w="108" w:type="dxa"/>
                                <w:bottom w:w="0" w:type="dxa"/>
                                <w:end w:w="108" w:type="dxa"/>
                              </w:tblCellMar>
                            </w:tblPr>
                            <w:tblGrid>
                              <w:gridCol w:w="2448"/>
                              <w:gridCol w:w="4140"/>
                            </w:tblGrid>
                            <w:tr>
                              <w:trPr/>
                              <w:tc>
                                <w:tcPr>
                                  <w:tcW w:w="2448" w:type="dxa"/>
                                  <w:tcBorders/>
                                  <w:shd w:fill="auto" w:val="clear"/>
                                </w:tcPr>
                                <w:p>
                                  <w:pPr>
                                    <w:pStyle w:val="Normal"/>
                                    <w:ind w:end="-31" w:hanging="0"/>
                                    <w:jc w:val="both"/>
                                    <w:rPr>
                                      <w:rFonts w:ascii="Garamond" w:hAnsi="Garamond" w:cs="Garamond"/>
                                      <w:sz w:val="24"/>
                                      <w:szCs w:val="24"/>
                                    </w:rPr>
                                  </w:pPr>
                                  <w:r>
                                    <w:rPr>
                                      <w:rFonts w:cs="Garamond" w:ascii="Garamond" w:hAnsi="Garamond"/>
                                      <w:sz w:val="22"/>
                                      <w:szCs w:val="22"/>
                                    </w:rPr>
                                    <w:drawing>
                                      <wp:inline distT="0" distB="0" distL="0" distR="0">
                                        <wp:extent cx="1468755" cy="1922145"/>
                                        <wp:effectExtent l="0" t="0" r="0" b="0"/>
                                        <wp:docPr id="20" name="Изображение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12" descr="" title=""/>
                                                <pic:cNvPicPr>
                                                  <a:picLocks noChangeAspect="1" noChangeArrowheads="1"/>
                                                </pic:cNvPicPr>
                                              </pic:nvPicPr>
                                              <pic:blipFill>
                                                <a:blip r:embed="rId14"/>
                                                <a:srcRect l="-1" t="1968" r="2740" b="-1"/>
                                                <a:stretch>
                                                  <a:fillRect/>
                                                </a:stretch>
                                              </pic:blipFill>
                                              <pic:spPr bwMode="auto">
                                                <a:xfrm>
                                                  <a:off x="0" y="0"/>
                                                  <a:ext cx="1468755" cy="1922145"/>
                                                </a:xfrm>
                                                <a:prstGeom prst="rect">
                                                  <a:avLst/>
                                                </a:prstGeom>
                                              </pic:spPr>
                                            </pic:pic>
                                          </a:graphicData>
                                        </a:graphic>
                                      </wp:inline>
                                    </w:drawing>
                                  </w:r>
                                </w:p>
                              </w:tc>
                              <w:tc>
                                <w:tcPr>
                                  <w:tcW w:w="4140" w:type="dxa"/>
                                  <w:tcBorders/>
                                  <w:shd w:fill="auto" w:val="clear"/>
                                </w:tcPr>
                                <w:p>
                                  <w:pPr>
                                    <w:pStyle w:val="Normal"/>
                                    <w:ind w:end="-31" w:hanging="108"/>
                                    <w:jc w:val="end"/>
                                    <w:rPr>
                                      <w:rFonts w:ascii="Garamond" w:hAnsi="Garamond" w:cs="Garamond"/>
                                      <w:sz w:val="22"/>
                                      <w:szCs w:val="22"/>
                                    </w:rPr>
                                  </w:pPr>
                                  <w:r>
                                    <w:rPr>
                                      <w:rFonts w:cs="Garamond" w:ascii="Garamond" w:hAnsi="Garamond"/>
                                      <w:sz w:val="22"/>
                                      <w:szCs w:val="22"/>
                                    </w:rPr>
                                    <w:drawing>
                                      <wp:inline distT="0" distB="0" distL="0" distR="0">
                                        <wp:extent cx="2529205" cy="1917065"/>
                                        <wp:effectExtent l="0" t="0" r="0" b="0"/>
                                        <wp:docPr id="21" name="Изображение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13" descr="" title=""/>
                                                <pic:cNvPicPr>
                                                  <a:picLocks noChangeAspect="1" noChangeArrowheads="1"/>
                                                </pic:cNvPicPr>
                                              </pic:nvPicPr>
                                              <pic:blipFill>
                                                <a:blip r:embed="rId15"/>
                                                <a:srcRect l="-1" t="-1" r="-1" b="-1"/>
                                                <a:stretch>
                                                  <a:fillRect/>
                                                </a:stretch>
                                              </pic:blipFill>
                                              <pic:spPr bwMode="auto">
                                                <a:xfrm>
                                                  <a:off x="0" y="0"/>
                                                  <a:ext cx="2529205" cy="1917065"/>
                                                </a:xfrm>
                                                <a:prstGeom prst="rect">
                                                  <a:avLst/>
                                                </a:prstGeom>
                                              </pic:spPr>
                                            </pic:pic>
                                          </a:graphicData>
                                        </a:graphic>
                                      </wp:inline>
                                    </w:drawing>
                                  </w:r>
                                </w:p>
                                <w:p>
                                  <w:pPr>
                                    <w:pStyle w:val="Normal"/>
                                    <w:ind w:end="-31" w:hanging="108"/>
                                    <w:jc w:val="both"/>
                                    <w:rPr>
                                      <w:rFonts w:ascii="Garamond" w:hAnsi="Garamond" w:cs="Garamond"/>
                                      <w:sz w:val="8"/>
                                      <w:szCs w:val="8"/>
                                    </w:rPr>
                                  </w:pPr>
                                  <w:r>
                                    <w:rPr>
                                      <w:rFonts w:cs="Garamond" w:ascii="Garamond" w:hAnsi="Garamond"/>
                                      <w:sz w:val="8"/>
                                      <w:szCs w:val="8"/>
                                    </w:rPr>
                                  </w:r>
                                </w:p>
                              </w:tc>
                            </w:tr>
                            <w:tr>
                              <w:trPr/>
                              <w:tc>
                                <w:tcPr>
                                  <w:tcW w:w="6588" w:type="dxa"/>
                                  <w:gridSpan w:val="2"/>
                                  <w:tcBorders/>
                                  <w:shd w:fill="auto" w:val="clear"/>
                                </w:tcPr>
                                <w:p>
                                  <w:pPr>
                                    <w:pStyle w:val="Normal"/>
                                    <w:ind w:end="-31" w:hanging="0"/>
                                    <w:jc w:val="end"/>
                                    <w:rPr>
                                      <w:rFonts w:ascii="Garamond" w:hAnsi="Garamond" w:cs="Garamond"/>
                                      <w:i/>
                                      <w:i/>
                                      <w:sz w:val="22"/>
                                      <w:szCs w:val="22"/>
                                    </w:rPr>
                                  </w:pPr>
                                  <w:r>
                                    <w:rPr>
                                      <w:rFonts w:cs="Garamond" w:ascii="Garamond" w:hAnsi="Garamond"/>
                                      <w:sz w:val="22"/>
                                      <w:szCs w:val="22"/>
                                    </w:rPr>
                                    <w:drawing>
                                      <wp:inline distT="0" distB="0" distL="0" distR="0">
                                        <wp:extent cx="4061460" cy="2731135"/>
                                        <wp:effectExtent l="0" t="0" r="0" b="0"/>
                                        <wp:docPr id="22" name="Изображение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4" descr="" title=""/>
                                                <pic:cNvPicPr>
                                                  <a:picLocks noChangeAspect="1" noChangeArrowheads="1"/>
                                                </pic:cNvPicPr>
                                              </pic:nvPicPr>
                                              <pic:blipFill>
                                                <a:blip r:embed="rId16"/>
                                                <a:srcRect l="1345" t="-1" r="0" b="-1"/>
                                                <a:stretch>
                                                  <a:fillRect/>
                                                </a:stretch>
                                              </pic:blipFill>
                                              <pic:spPr bwMode="auto">
                                                <a:xfrm>
                                                  <a:off x="0" y="0"/>
                                                  <a:ext cx="4061460" cy="2731135"/>
                                                </a:xfrm>
                                                <a:prstGeom prst="rect">
                                                  <a:avLst/>
                                                </a:prstGeom>
                                              </pic:spPr>
                                            </pic:pic>
                                          </a:graphicData>
                                        </a:graphic>
                                      </wp:inline>
                                    </w:drawing>
                                  </w:r>
                                </w:p>
                                <w:p>
                                  <w:pPr>
                                    <w:pStyle w:val="Normal"/>
                                    <w:ind w:end="-31" w:hanging="0"/>
                                    <w:jc w:val="center"/>
                                    <w:rPr/>
                                  </w:pPr>
                                  <w:r>
                                    <w:rPr>
                                      <w:rFonts w:cs="Garamond" w:ascii="Garamond" w:hAnsi="Garamond"/>
                                      <w:i/>
                                      <w:sz w:val="22"/>
                                      <w:szCs w:val="22"/>
                                    </w:rPr>
                                    <w:t>Илл. 9</w:t>
                                  </w:r>
                                  <w:r>
                                    <w:rPr>
                                      <w:rFonts w:cs="Garamond" w:ascii="Garamond" w:hAnsi="Garamond"/>
                                      <w:sz w:val="22"/>
                                      <w:szCs w:val="22"/>
                                    </w:rPr>
                                    <w:t>. Мастера керамической фабрики «Керкени» за работой (Набёль, 2008 г.) и расписанные сосуды в ожидании повторного обжига (</w:t>
                                  </w:r>
                                  <w:r>
                                    <w:rPr>
                                      <w:rFonts w:cs="Garamond" w:ascii="Garamond" w:hAnsi="Garamond"/>
                                      <w:i/>
                                      <w:sz w:val="22"/>
                                      <w:szCs w:val="22"/>
                                    </w:rPr>
                                    <w:t>фото автора</w:t>
                                  </w:r>
                                  <w:r>
                                    <w:rPr>
                                      <w:rFonts w:cs="Garamond" w:ascii="Garamond" w:hAnsi="Garamond"/>
                                      <w:sz w:val="22"/>
                                      <w:szCs w:val="22"/>
                                    </w:rPr>
                                    <w:t>)</w:t>
                                  </w:r>
                                </w:p>
                                <w:p>
                                  <w:pPr>
                                    <w:pStyle w:val="Normal"/>
                                    <w:ind w:end="-31" w:hanging="0"/>
                                    <w:jc w:val="center"/>
                                    <w:rPr>
                                      <w:rFonts w:ascii="Garamond" w:hAnsi="Garamond" w:cs="Garamond"/>
                                      <w:sz w:val="16"/>
                                      <w:szCs w:val="16"/>
                                    </w:rPr>
                                  </w:pPr>
                                  <w:r>
                                    <w:rPr>
                                      <w:rFonts w:cs="Garamond" w:ascii="Garamond" w:hAnsi="Garamond"/>
                                      <w:sz w:val="16"/>
                                      <w:szCs w:val="16"/>
                                    </w:rPr>
                                  </w:r>
                                </w:p>
                              </w:tc>
                            </w:tr>
                          </w:tbl>
                        </w:txbxContent>
                      </wps:txbx>
                      <wps:bodyPr anchor="t" lIns="0" tIns="0" rIns="0" bIns="0">
                        <a:noAutofit/>
                      </wps:bodyPr>
                    </wps:wsp>
                  </a:graphicData>
                </a:graphic>
              </wp:anchor>
            </w:drawing>
          </mc:Choice>
          <mc:Fallback>
            <w:pict>
              <v:rect fillcolor="#FFFFFF" style="position:absolute;rotation:0;width:329.4pt;height:418.35pt;mso-wrap-distance-left:9pt;mso-wrap-distance-right:0pt;mso-wrap-distance-top:0pt;mso-wrap-distance-bottom:0pt;margin-top:1.6pt;mso-position-vertical-relative:text;margin-left:110.05pt;mso-position-horizontal:right;mso-position-horizontal-relative:margin">
                <v:fill opacity="0f"/>
                <v:textbox>
                  <w:txbxContent>
                    <w:tbl>
                      <w:tblPr>
                        <w:tblW w:w="6588" w:type="dxa"/>
                        <w:jc w:val="start"/>
                        <w:tblInd w:w="0" w:type="dxa"/>
                        <w:tblBorders/>
                        <w:tblCellMar>
                          <w:top w:w="0" w:type="dxa"/>
                          <w:start w:w="108" w:type="dxa"/>
                          <w:bottom w:w="0" w:type="dxa"/>
                          <w:end w:w="108" w:type="dxa"/>
                        </w:tblCellMar>
                      </w:tblPr>
                      <w:tblGrid>
                        <w:gridCol w:w="2448"/>
                        <w:gridCol w:w="4140"/>
                      </w:tblGrid>
                      <w:tr>
                        <w:trPr/>
                        <w:tc>
                          <w:tcPr>
                            <w:tcW w:w="2448" w:type="dxa"/>
                            <w:tcBorders/>
                            <w:shd w:fill="auto" w:val="clear"/>
                          </w:tcPr>
                          <w:p>
                            <w:pPr>
                              <w:pStyle w:val="Normal"/>
                              <w:ind w:end="-31" w:hanging="0"/>
                              <w:jc w:val="both"/>
                              <w:rPr>
                                <w:rFonts w:ascii="Garamond" w:hAnsi="Garamond" w:cs="Garamond"/>
                                <w:sz w:val="24"/>
                                <w:szCs w:val="24"/>
                              </w:rPr>
                            </w:pPr>
                            <w:r>
                              <w:rPr>
                                <w:rFonts w:cs="Garamond" w:ascii="Garamond" w:hAnsi="Garamond"/>
                                <w:sz w:val="22"/>
                                <w:szCs w:val="22"/>
                              </w:rPr>
                              <w:drawing>
                                <wp:inline distT="0" distB="0" distL="0" distR="0">
                                  <wp:extent cx="1468755" cy="1922145"/>
                                  <wp:effectExtent l="0" t="0" r="0" b="0"/>
                                  <wp:docPr id="23" name="Изображение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12" descr="" title=""/>
                                          <pic:cNvPicPr>
                                            <a:picLocks noChangeAspect="1" noChangeArrowheads="1"/>
                                          </pic:cNvPicPr>
                                        </pic:nvPicPr>
                                        <pic:blipFill>
                                          <a:blip r:embed="rId14"/>
                                          <a:srcRect l="-1" t="1968" r="2740" b="-1"/>
                                          <a:stretch>
                                            <a:fillRect/>
                                          </a:stretch>
                                        </pic:blipFill>
                                        <pic:spPr bwMode="auto">
                                          <a:xfrm>
                                            <a:off x="0" y="0"/>
                                            <a:ext cx="1468755" cy="1922145"/>
                                          </a:xfrm>
                                          <a:prstGeom prst="rect">
                                            <a:avLst/>
                                          </a:prstGeom>
                                        </pic:spPr>
                                      </pic:pic>
                                    </a:graphicData>
                                  </a:graphic>
                                </wp:inline>
                              </w:drawing>
                            </w:r>
                          </w:p>
                        </w:tc>
                        <w:tc>
                          <w:tcPr>
                            <w:tcW w:w="4140" w:type="dxa"/>
                            <w:tcBorders/>
                            <w:shd w:fill="auto" w:val="clear"/>
                          </w:tcPr>
                          <w:p>
                            <w:pPr>
                              <w:pStyle w:val="Normal"/>
                              <w:ind w:end="-31" w:hanging="108"/>
                              <w:jc w:val="end"/>
                              <w:rPr>
                                <w:rFonts w:ascii="Garamond" w:hAnsi="Garamond" w:cs="Garamond"/>
                                <w:sz w:val="22"/>
                                <w:szCs w:val="22"/>
                              </w:rPr>
                            </w:pPr>
                            <w:r>
                              <w:rPr>
                                <w:rFonts w:cs="Garamond" w:ascii="Garamond" w:hAnsi="Garamond"/>
                                <w:sz w:val="22"/>
                                <w:szCs w:val="22"/>
                              </w:rPr>
                              <w:drawing>
                                <wp:inline distT="0" distB="0" distL="0" distR="0">
                                  <wp:extent cx="2529205" cy="1917065"/>
                                  <wp:effectExtent l="0" t="0" r="0" b="0"/>
                                  <wp:docPr id="24" name="Изображение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13" descr="" title=""/>
                                          <pic:cNvPicPr>
                                            <a:picLocks noChangeAspect="1" noChangeArrowheads="1"/>
                                          </pic:cNvPicPr>
                                        </pic:nvPicPr>
                                        <pic:blipFill>
                                          <a:blip r:embed="rId15"/>
                                          <a:srcRect l="-1" t="-1" r="-1" b="-1"/>
                                          <a:stretch>
                                            <a:fillRect/>
                                          </a:stretch>
                                        </pic:blipFill>
                                        <pic:spPr bwMode="auto">
                                          <a:xfrm>
                                            <a:off x="0" y="0"/>
                                            <a:ext cx="2529205" cy="1917065"/>
                                          </a:xfrm>
                                          <a:prstGeom prst="rect">
                                            <a:avLst/>
                                          </a:prstGeom>
                                        </pic:spPr>
                                      </pic:pic>
                                    </a:graphicData>
                                  </a:graphic>
                                </wp:inline>
                              </w:drawing>
                            </w:r>
                          </w:p>
                          <w:p>
                            <w:pPr>
                              <w:pStyle w:val="Normal"/>
                              <w:ind w:end="-31" w:hanging="108"/>
                              <w:jc w:val="both"/>
                              <w:rPr>
                                <w:rFonts w:ascii="Garamond" w:hAnsi="Garamond" w:cs="Garamond"/>
                                <w:sz w:val="8"/>
                                <w:szCs w:val="8"/>
                              </w:rPr>
                            </w:pPr>
                            <w:r>
                              <w:rPr>
                                <w:rFonts w:cs="Garamond" w:ascii="Garamond" w:hAnsi="Garamond"/>
                                <w:sz w:val="8"/>
                                <w:szCs w:val="8"/>
                              </w:rPr>
                            </w:r>
                          </w:p>
                        </w:tc>
                      </w:tr>
                      <w:tr>
                        <w:trPr/>
                        <w:tc>
                          <w:tcPr>
                            <w:tcW w:w="6588" w:type="dxa"/>
                            <w:gridSpan w:val="2"/>
                            <w:tcBorders/>
                            <w:shd w:fill="auto" w:val="clear"/>
                          </w:tcPr>
                          <w:p>
                            <w:pPr>
                              <w:pStyle w:val="Normal"/>
                              <w:ind w:end="-31" w:hanging="0"/>
                              <w:jc w:val="end"/>
                              <w:rPr>
                                <w:rFonts w:ascii="Garamond" w:hAnsi="Garamond" w:cs="Garamond"/>
                                <w:i/>
                                <w:i/>
                                <w:sz w:val="22"/>
                                <w:szCs w:val="22"/>
                              </w:rPr>
                            </w:pPr>
                            <w:r>
                              <w:rPr>
                                <w:rFonts w:cs="Garamond" w:ascii="Garamond" w:hAnsi="Garamond"/>
                                <w:sz w:val="22"/>
                                <w:szCs w:val="22"/>
                              </w:rPr>
                              <w:drawing>
                                <wp:inline distT="0" distB="0" distL="0" distR="0">
                                  <wp:extent cx="4061460" cy="2731135"/>
                                  <wp:effectExtent l="0" t="0" r="0" b="0"/>
                                  <wp:docPr id="25" name="Изображение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14" descr="" title=""/>
                                          <pic:cNvPicPr>
                                            <a:picLocks noChangeAspect="1" noChangeArrowheads="1"/>
                                          </pic:cNvPicPr>
                                        </pic:nvPicPr>
                                        <pic:blipFill>
                                          <a:blip r:embed="rId16"/>
                                          <a:srcRect l="1345" t="-1" r="0" b="-1"/>
                                          <a:stretch>
                                            <a:fillRect/>
                                          </a:stretch>
                                        </pic:blipFill>
                                        <pic:spPr bwMode="auto">
                                          <a:xfrm>
                                            <a:off x="0" y="0"/>
                                            <a:ext cx="4061460" cy="2731135"/>
                                          </a:xfrm>
                                          <a:prstGeom prst="rect">
                                            <a:avLst/>
                                          </a:prstGeom>
                                        </pic:spPr>
                                      </pic:pic>
                                    </a:graphicData>
                                  </a:graphic>
                                </wp:inline>
                              </w:drawing>
                            </w:r>
                          </w:p>
                          <w:p>
                            <w:pPr>
                              <w:pStyle w:val="Normal"/>
                              <w:ind w:end="-31" w:hanging="0"/>
                              <w:jc w:val="center"/>
                              <w:rPr/>
                            </w:pPr>
                            <w:r>
                              <w:rPr>
                                <w:rFonts w:cs="Garamond" w:ascii="Garamond" w:hAnsi="Garamond"/>
                                <w:i/>
                                <w:sz w:val="22"/>
                                <w:szCs w:val="22"/>
                              </w:rPr>
                              <w:t>Илл. 9</w:t>
                            </w:r>
                            <w:r>
                              <w:rPr>
                                <w:rFonts w:cs="Garamond" w:ascii="Garamond" w:hAnsi="Garamond"/>
                                <w:sz w:val="22"/>
                                <w:szCs w:val="22"/>
                              </w:rPr>
                              <w:t>. Мастера керамической фабрики «Керкени» за работой (Набёль, 2008 г.) и расписанные сосуды в ожидании повторного обжига (</w:t>
                            </w:r>
                            <w:r>
                              <w:rPr>
                                <w:rFonts w:cs="Garamond" w:ascii="Garamond" w:hAnsi="Garamond"/>
                                <w:i/>
                                <w:sz w:val="22"/>
                                <w:szCs w:val="22"/>
                              </w:rPr>
                              <w:t>фото автора</w:t>
                            </w:r>
                            <w:r>
                              <w:rPr>
                                <w:rFonts w:cs="Garamond" w:ascii="Garamond" w:hAnsi="Garamond"/>
                                <w:sz w:val="22"/>
                                <w:szCs w:val="22"/>
                              </w:rPr>
                              <w:t>)</w:t>
                            </w:r>
                          </w:p>
                          <w:p>
                            <w:pPr>
                              <w:pStyle w:val="Normal"/>
                              <w:ind w:end="-31" w:hanging="0"/>
                              <w:jc w:val="center"/>
                              <w:rPr>
                                <w:rFonts w:ascii="Garamond" w:hAnsi="Garamond" w:cs="Garamond"/>
                                <w:sz w:val="16"/>
                                <w:szCs w:val="16"/>
                              </w:rPr>
                            </w:pPr>
                            <w:r>
                              <w:rPr>
                                <w:rFonts w:cs="Garamond" w:ascii="Garamond" w:hAnsi="Garamond"/>
                                <w:sz w:val="16"/>
                                <w:szCs w:val="16"/>
                              </w:rPr>
                            </w:r>
                          </w:p>
                        </w:tc>
                      </w:tr>
                    </w:tbl>
                  </w:txbxContent>
                </v:textbox>
                <w10:wrap type="square"/>
              </v:rect>
            </w:pict>
          </mc:Fallback>
        </mc:AlternateContent>
      </w:r>
    </w:p>
    <w:p>
      <w:pPr>
        <w:pStyle w:val="Normal"/>
        <w:ind w:end="-31" w:hanging="0"/>
        <w:rPr>
          <w:rFonts w:ascii="Garamond" w:hAnsi="Garamond" w:cs="Garamond"/>
          <w:sz w:val="22"/>
          <w:szCs w:val="22"/>
        </w:rPr>
      </w:pPr>
      <w:r>
        <w:rPr>
          <w:rFonts w:cs="Garamond" w:ascii="Garamond" w:hAnsi="Garamond"/>
          <w:sz w:val="22"/>
          <w:szCs w:val="22"/>
        </w:rPr>
      </w:r>
    </w:p>
    <w:p>
      <w:pPr>
        <w:pStyle w:val="Normal"/>
        <w:ind w:end="-31" w:hanging="0"/>
        <w:rPr>
          <w:rFonts w:ascii="Garamond" w:hAnsi="Garamond" w:cs="Garamond"/>
          <w:sz w:val="22"/>
          <w:szCs w:val="22"/>
        </w:rPr>
      </w:pPr>
      <w:r>
        <w:rPr>
          <w:rFonts w:cs="Garamond" w:ascii="Garamond" w:hAnsi="Garamond"/>
          <w:sz w:val="22"/>
          <w:szCs w:val="22"/>
        </w:rPr>
      </w:r>
    </w:p>
    <w:p>
      <w:pPr>
        <w:pStyle w:val="Normal"/>
        <w:ind w:start="720" w:end="-31" w:hanging="720"/>
        <w:jc w:val="center"/>
        <w:rPr/>
      </w:pPr>
      <w:r>
        <w:rPr>
          <w:rFonts w:cs="Garamond" w:ascii="Garamond" w:hAnsi="Garamond"/>
          <w:sz w:val="24"/>
          <w:szCs w:val="24"/>
        </w:rPr>
        <w:t>Литература</w:t>
      </w:r>
      <w:r>
        <w:rPr>
          <w:rFonts w:cs="Garamond" w:ascii="Garamond" w:hAnsi="Garamond"/>
          <w:sz w:val="24"/>
          <w:szCs w:val="24"/>
          <w:lang w:val="en-US"/>
        </w:rPr>
        <w:t xml:space="preserve"> / References</w:t>
      </w:r>
    </w:p>
    <w:p>
      <w:pPr>
        <w:pStyle w:val="Normal"/>
        <w:ind w:start="720" w:end="-31" w:hanging="720"/>
        <w:jc w:val="both"/>
        <w:rPr>
          <w:rFonts w:ascii="Garamond" w:hAnsi="Garamond" w:cs="Garamond"/>
          <w:sz w:val="8"/>
          <w:szCs w:val="8"/>
          <w:lang w:val="en-US"/>
        </w:rPr>
      </w:pPr>
      <w:r>
        <w:rPr>
          <w:rFonts w:cs="Garamond" w:ascii="Garamond" w:hAnsi="Garamond"/>
          <w:sz w:val="8"/>
          <w:szCs w:val="8"/>
          <w:lang w:val="en-US"/>
        </w:rPr>
      </w:r>
    </w:p>
    <w:p>
      <w:pPr>
        <w:pStyle w:val="Normal"/>
        <w:ind w:start="720" w:end="-31" w:hanging="720"/>
        <w:jc w:val="both"/>
        <w:rPr>
          <w:rFonts w:ascii="Garamond" w:hAnsi="Garamond" w:cs="Garamond"/>
          <w:sz w:val="22"/>
          <w:szCs w:val="22"/>
          <w:lang w:val="en-US"/>
        </w:rPr>
      </w:pPr>
      <w:r>
        <w:rPr>
          <w:rFonts w:cs="Garamond" w:ascii="Garamond" w:hAnsi="Garamond"/>
          <w:bCs/>
          <w:sz w:val="22"/>
          <w:szCs w:val="22"/>
          <w:lang w:val="en-US"/>
        </w:rPr>
        <w:t xml:space="preserve">Bagińska D. Amphora Imports in Nubia. </w:t>
      </w:r>
      <w:r>
        <w:rPr>
          <w:rFonts w:cs="Garamond" w:ascii="Garamond" w:hAnsi="Garamond"/>
          <w:bCs/>
          <w:i/>
          <w:sz w:val="22"/>
          <w:szCs w:val="22"/>
          <w:lang w:val="en-US"/>
        </w:rPr>
        <w:t>Gdańsk Archaeological Museum African Reports.</w:t>
      </w:r>
      <w:r>
        <w:rPr>
          <w:rFonts w:cs="Garamond" w:ascii="Garamond" w:hAnsi="Garamond"/>
          <w:bCs/>
          <w:sz w:val="22"/>
          <w:szCs w:val="22"/>
          <w:lang w:val="en-US"/>
        </w:rPr>
        <w:t xml:space="preserve"> 2005. 3. Pp. 15–36.</w:t>
      </w:r>
    </w:p>
    <w:p>
      <w:pPr>
        <w:pStyle w:val="Normal"/>
        <w:ind w:start="720" w:end="-31" w:hanging="720"/>
        <w:jc w:val="both"/>
        <w:rPr/>
      </w:pPr>
      <w:r>
        <w:rPr>
          <w:rFonts w:cs="Garamond" w:ascii="Garamond" w:hAnsi="Garamond"/>
          <w:sz w:val="22"/>
          <w:szCs w:val="22"/>
          <w:lang w:val="en-US"/>
        </w:rPr>
        <w:t xml:space="preserve">Ben Ouezdou H. </w:t>
      </w:r>
      <w:r>
        <w:rPr>
          <w:rFonts w:cs="Garamond" w:ascii="Garamond" w:hAnsi="Garamond"/>
          <w:i/>
          <w:sz w:val="22"/>
          <w:szCs w:val="22"/>
          <w:lang w:val="en-US"/>
        </w:rPr>
        <w:t>Djerba. Pearl of the Mediterranean</w:t>
      </w:r>
      <w:r>
        <w:rPr>
          <w:rFonts w:cs="Garamond" w:ascii="Garamond" w:hAnsi="Garamond"/>
          <w:sz w:val="22"/>
          <w:szCs w:val="22"/>
          <w:lang w:val="en-US"/>
        </w:rPr>
        <w:t>. Tunis, 2008.</w:t>
      </w:r>
    </w:p>
    <w:p>
      <w:pPr>
        <w:pStyle w:val="Normal"/>
        <w:ind w:start="720" w:end="-31" w:hanging="720"/>
        <w:jc w:val="both"/>
        <w:rPr/>
      </w:pPr>
      <w:r>
        <w:rPr>
          <w:rFonts w:cs="Garamond" w:ascii="Garamond" w:hAnsi="Garamond"/>
          <w:sz w:val="22"/>
          <w:szCs w:val="22"/>
          <w:lang w:val="fr-FR"/>
        </w:rPr>
        <w:t xml:space="preserve">Bonifay M. </w:t>
      </w:r>
      <w:r>
        <w:rPr>
          <w:rFonts w:cs="Garamond" w:ascii="Garamond" w:hAnsi="Garamond"/>
          <w:i/>
          <w:sz w:val="22"/>
          <w:szCs w:val="22"/>
          <w:lang w:val="fr-FR"/>
        </w:rPr>
        <w:t>Etudes sur la céramique romaine tardive d’Afrique.</w:t>
      </w:r>
      <w:r>
        <w:rPr>
          <w:rFonts w:cs="Garamond" w:ascii="Garamond" w:hAnsi="Garamond"/>
          <w:sz w:val="22"/>
          <w:szCs w:val="22"/>
          <w:lang w:val="fr-FR"/>
        </w:rPr>
        <w:t xml:space="preserve"> </w:t>
      </w:r>
      <w:r>
        <w:rPr>
          <w:rFonts w:cs="Garamond" w:ascii="Garamond" w:hAnsi="Garamond"/>
          <w:sz w:val="22"/>
          <w:szCs w:val="22"/>
          <w:lang w:val="en-US"/>
        </w:rPr>
        <w:t>Oxford, 2004.</w:t>
      </w:r>
    </w:p>
    <w:p>
      <w:pPr>
        <w:pStyle w:val="Normal"/>
        <w:ind w:start="720" w:end="-31" w:hanging="720"/>
        <w:jc w:val="both"/>
        <w:rPr/>
      </w:pPr>
      <w:r>
        <w:rPr>
          <w:rFonts w:cs="Garamond" w:ascii="Garamond" w:hAnsi="Garamond"/>
          <w:sz w:val="22"/>
          <w:szCs w:val="22"/>
          <w:lang w:val="en-US"/>
        </w:rPr>
        <w:t xml:space="preserve">Gascoigne A.L. Amphorae from Old Cairo: A Preliminary Note. </w:t>
      </w:r>
      <w:r>
        <w:rPr>
          <w:rFonts w:cs="Garamond" w:ascii="Garamond" w:hAnsi="Garamond"/>
          <w:i/>
          <w:sz w:val="22"/>
          <w:szCs w:val="22"/>
          <w:lang w:val="fr-FR"/>
        </w:rPr>
        <w:t>Cahiers de la Céramique Égyptienne</w:t>
      </w:r>
      <w:r>
        <w:rPr>
          <w:rFonts w:cs="Garamond" w:ascii="Garamond" w:hAnsi="Garamond"/>
          <w:sz w:val="22"/>
          <w:szCs w:val="22"/>
          <w:lang w:val="fr-FR"/>
        </w:rPr>
        <w:t>. 2007. 8. Pp. 161–173.</w:t>
      </w:r>
    </w:p>
    <w:p>
      <w:pPr>
        <w:pStyle w:val="Normal"/>
        <w:ind w:start="720" w:end="-31" w:hanging="720"/>
        <w:jc w:val="both"/>
        <w:rPr/>
      </w:pPr>
      <w:r>
        <w:rPr>
          <w:rFonts w:cs="Garamond" w:ascii="Garamond" w:hAnsi="Garamond"/>
          <w:sz w:val="22"/>
          <w:szCs w:val="22"/>
          <w:lang w:val="fr-FR"/>
        </w:rPr>
        <w:t xml:space="preserve">Kormysheva E., Malykh S., Lebedev M., Vetokhov S. </w:t>
      </w:r>
      <w:r>
        <w:rPr>
          <w:rFonts w:cs="Garamond" w:ascii="Garamond" w:hAnsi="Garamond"/>
          <w:i/>
          <w:sz w:val="22"/>
          <w:szCs w:val="22"/>
          <w:lang w:val="fr-FR"/>
        </w:rPr>
        <w:t xml:space="preserve">Giza. </w:t>
      </w:r>
      <w:r>
        <w:rPr>
          <w:rFonts w:cs="Garamond" w:ascii="Garamond" w:hAnsi="Garamond"/>
          <w:i/>
          <w:sz w:val="22"/>
          <w:szCs w:val="22"/>
          <w:lang w:val="en-US"/>
        </w:rPr>
        <w:t>Eastern Necropolis III. Tombs of Tjenty II, Khufuhotep, and Anonymous Tombs GE 17, GE 18, GE 47, GE 48, and GE 49</w:t>
      </w:r>
      <w:r>
        <w:rPr>
          <w:rFonts w:cs="Garamond" w:ascii="Garamond" w:hAnsi="Garamond"/>
          <w:sz w:val="22"/>
          <w:szCs w:val="22"/>
          <w:lang w:val="en-US"/>
        </w:rPr>
        <w:t>. Moscow, 2015.</w:t>
      </w:r>
    </w:p>
    <w:p>
      <w:pPr>
        <w:pStyle w:val="Normal"/>
        <w:ind w:start="720" w:end="-31" w:hanging="720"/>
        <w:jc w:val="both"/>
        <w:rPr/>
      </w:pPr>
      <w:r>
        <w:rPr>
          <w:rFonts w:cs="Garamond" w:ascii="Garamond" w:hAnsi="Garamond"/>
          <w:sz w:val="22"/>
          <w:szCs w:val="22"/>
          <w:lang w:val="en-US"/>
        </w:rPr>
        <w:t xml:space="preserve">Tomber R., Dore J. </w:t>
      </w:r>
      <w:r>
        <w:rPr>
          <w:rFonts w:cs="Garamond" w:ascii="Garamond" w:hAnsi="Garamond"/>
          <w:i/>
          <w:sz w:val="22"/>
          <w:szCs w:val="22"/>
          <w:lang w:val="en-US"/>
        </w:rPr>
        <w:t>The National Roman Fabric Reference Collection: A Handbook.</w:t>
      </w:r>
      <w:r>
        <w:rPr>
          <w:rFonts w:cs="Garamond" w:ascii="Garamond" w:hAnsi="Garamond"/>
          <w:sz w:val="22"/>
          <w:szCs w:val="22"/>
          <w:lang w:val="en-US"/>
        </w:rPr>
        <w:t xml:space="preserve"> London, 1998.</w:t>
      </w:r>
    </w:p>
    <w:p>
      <w:pPr>
        <w:pStyle w:val="Normal"/>
        <w:ind w:start="720" w:end="-31" w:hanging="720"/>
        <w:jc w:val="both"/>
        <w:rPr>
          <w:rFonts w:ascii="Garamond" w:hAnsi="Garamond" w:cs="Garamond"/>
          <w:sz w:val="22"/>
          <w:szCs w:val="22"/>
          <w:lang w:val="en-US"/>
        </w:rPr>
      </w:pPr>
      <w:r>
        <w:rPr>
          <w:rFonts w:cs="Garamond" w:ascii="Garamond" w:hAnsi="Garamond"/>
          <w:sz w:val="22"/>
          <w:szCs w:val="22"/>
          <w:lang w:val="en-US"/>
        </w:rPr>
      </w:r>
    </w:p>
    <w:p>
      <w:pPr>
        <w:pStyle w:val="Normal"/>
        <w:ind w:start="720" w:end="-31" w:hanging="720"/>
        <w:jc w:val="center"/>
        <w:rPr/>
      </w:pPr>
      <w:r>
        <w:rPr>
          <w:rFonts w:cs="Garamond" w:ascii="Garamond" w:hAnsi="Garamond"/>
          <w:sz w:val="24"/>
          <w:szCs w:val="24"/>
        </w:rPr>
        <w:t>Электронные</w:t>
      </w:r>
      <w:r>
        <w:rPr>
          <w:rFonts w:cs="Garamond" w:ascii="Garamond" w:hAnsi="Garamond"/>
          <w:sz w:val="24"/>
          <w:szCs w:val="24"/>
          <w:lang w:val="en-US"/>
        </w:rPr>
        <w:t xml:space="preserve"> </w:t>
      </w:r>
      <w:r>
        <w:rPr>
          <w:rFonts w:cs="Garamond" w:ascii="Garamond" w:hAnsi="Garamond"/>
          <w:sz w:val="24"/>
          <w:szCs w:val="24"/>
        </w:rPr>
        <w:t>ресурсы</w:t>
      </w:r>
      <w:r>
        <w:rPr>
          <w:rFonts w:cs="Garamond" w:ascii="Garamond" w:hAnsi="Garamond"/>
          <w:sz w:val="24"/>
          <w:szCs w:val="24"/>
          <w:lang w:val="en-US"/>
        </w:rPr>
        <w:t xml:space="preserve"> / Electronic sources</w:t>
      </w:r>
    </w:p>
    <w:p>
      <w:pPr>
        <w:pStyle w:val="Normal"/>
        <w:ind w:start="720" w:end="-31" w:hanging="720"/>
        <w:jc w:val="center"/>
        <w:rPr>
          <w:rFonts w:ascii="Garamond" w:hAnsi="Garamond" w:cs="Garamond"/>
          <w:i/>
          <w:i/>
          <w:sz w:val="8"/>
          <w:szCs w:val="8"/>
          <w:lang w:val="en-US"/>
        </w:rPr>
      </w:pPr>
      <w:r>
        <w:rPr>
          <w:rFonts w:cs="Garamond" w:ascii="Garamond" w:hAnsi="Garamond"/>
          <w:i/>
          <w:sz w:val="8"/>
          <w:szCs w:val="8"/>
          <w:lang w:val="en-US"/>
        </w:rPr>
      </w:r>
    </w:p>
    <w:p>
      <w:pPr>
        <w:pStyle w:val="Normal"/>
        <w:ind w:start="720" w:end="-31" w:hanging="720"/>
        <w:jc w:val="both"/>
        <w:rPr/>
      </w:pPr>
      <w:r>
        <w:rPr>
          <w:rFonts w:cs="Garamond" w:ascii="Garamond" w:hAnsi="Garamond"/>
          <w:i/>
          <w:sz w:val="22"/>
          <w:szCs w:val="22"/>
          <w:lang w:val="en-US"/>
        </w:rPr>
        <w:t>British Museum. Collection online</w:t>
      </w:r>
      <w:r>
        <w:rPr>
          <w:rFonts w:cs="Garamond" w:ascii="Garamond" w:hAnsi="Garamond"/>
          <w:sz w:val="22"/>
          <w:szCs w:val="22"/>
          <w:lang w:val="en-US"/>
        </w:rPr>
        <w:t>. URL</w:t>
      </w:r>
      <w:r>
        <w:rPr>
          <w:rFonts w:cs="Garamond" w:ascii="Garamond" w:hAnsi="Garamond"/>
          <w:sz w:val="22"/>
          <w:szCs w:val="22"/>
        </w:rPr>
        <w:t xml:space="preserve">: </w:t>
      </w:r>
      <w:r>
        <w:rPr>
          <w:rFonts w:cs="Garamond" w:ascii="Garamond" w:hAnsi="Garamond"/>
          <w:sz w:val="22"/>
          <w:szCs w:val="22"/>
          <w:lang w:val="en-US"/>
        </w:rPr>
        <w:t>http</w:t>
      </w:r>
      <w:r>
        <w:rPr>
          <w:rFonts w:cs="Garamond" w:ascii="Garamond" w:hAnsi="Garamond"/>
          <w:sz w:val="22"/>
          <w:szCs w:val="22"/>
        </w:rPr>
        <w:t>://</w:t>
      </w:r>
      <w:r>
        <w:rPr>
          <w:rFonts w:cs="Garamond" w:ascii="Garamond" w:hAnsi="Garamond"/>
          <w:sz w:val="22"/>
          <w:szCs w:val="22"/>
          <w:lang w:val="en-US"/>
        </w:rPr>
        <w:t>www</w:t>
      </w:r>
      <w:r>
        <w:rPr>
          <w:rFonts w:cs="Garamond" w:ascii="Garamond" w:hAnsi="Garamond"/>
          <w:sz w:val="22"/>
          <w:szCs w:val="22"/>
        </w:rPr>
        <w:t>.</w:t>
      </w:r>
      <w:r>
        <w:rPr>
          <w:rFonts w:cs="Garamond" w:ascii="Garamond" w:hAnsi="Garamond"/>
          <w:sz w:val="22"/>
          <w:szCs w:val="22"/>
          <w:lang w:val="en-US"/>
        </w:rPr>
        <w:t>britishmuseum</w:t>
      </w:r>
      <w:r>
        <w:rPr>
          <w:rFonts w:cs="Garamond" w:ascii="Garamond" w:hAnsi="Garamond"/>
          <w:sz w:val="22"/>
          <w:szCs w:val="22"/>
        </w:rPr>
        <w:t>.</w:t>
      </w:r>
      <w:r>
        <w:rPr>
          <w:rFonts w:cs="Garamond" w:ascii="Garamond" w:hAnsi="Garamond"/>
          <w:sz w:val="22"/>
          <w:szCs w:val="22"/>
          <w:lang w:val="en-US"/>
        </w:rPr>
        <w:t>org</w:t>
      </w:r>
      <w:r>
        <w:rPr>
          <w:rFonts w:cs="Garamond" w:ascii="Garamond" w:hAnsi="Garamond"/>
          <w:sz w:val="22"/>
          <w:szCs w:val="22"/>
        </w:rPr>
        <w:t>/</w:t>
      </w:r>
      <w:r>
        <w:rPr>
          <w:rFonts w:cs="Garamond" w:ascii="Garamond" w:hAnsi="Garamond"/>
          <w:sz w:val="22"/>
          <w:szCs w:val="22"/>
          <w:lang w:val="en-US"/>
        </w:rPr>
        <w:t>research</w:t>
      </w:r>
      <w:r>
        <w:rPr>
          <w:rFonts w:cs="Garamond" w:ascii="Garamond" w:hAnsi="Garamond"/>
          <w:sz w:val="22"/>
          <w:szCs w:val="22"/>
        </w:rPr>
        <w:t>/</w:t>
      </w:r>
      <w:r>
        <w:rPr>
          <w:rFonts w:cs="Garamond" w:ascii="Garamond" w:hAnsi="Garamond"/>
          <w:sz w:val="22"/>
          <w:szCs w:val="22"/>
          <w:lang w:val="en-US"/>
        </w:rPr>
        <w:t>collection</w:t>
      </w:r>
      <w:r>
        <w:rPr>
          <w:rFonts w:cs="Garamond" w:ascii="Garamond" w:hAnsi="Garamond"/>
          <w:sz w:val="22"/>
          <w:szCs w:val="22"/>
        </w:rPr>
        <w:t>_</w:t>
      </w:r>
      <w:r>
        <w:rPr>
          <w:rFonts w:cs="Garamond" w:ascii="Garamond" w:hAnsi="Garamond"/>
          <w:sz w:val="22"/>
          <w:szCs w:val="22"/>
          <w:lang w:val="en-US"/>
        </w:rPr>
        <w:t>online</w:t>
      </w:r>
      <w:r>
        <w:rPr>
          <w:rFonts w:cs="Garamond" w:ascii="Garamond" w:hAnsi="Garamond"/>
          <w:sz w:val="22"/>
          <w:szCs w:val="22"/>
        </w:rPr>
        <w:t xml:space="preserve">/ </w:t>
      </w:r>
      <w:r>
        <w:rPr>
          <w:rFonts w:cs="Garamond" w:ascii="Garamond" w:hAnsi="Garamond"/>
          <w:sz w:val="22"/>
          <w:szCs w:val="22"/>
          <w:lang w:val="en-US"/>
        </w:rPr>
        <w:t>search</w:t>
      </w:r>
      <w:r>
        <w:rPr>
          <w:rFonts w:cs="Garamond" w:ascii="Garamond" w:hAnsi="Garamond"/>
          <w:sz w:val="22"/>
          <w:szCs w:val="22"/>
        </w:rPr>
        <w:t>.</w:t>
      </w:r>
      <w:r>
        <w:rPr>
          <w:rFonts w:cs="Garamond" w:ascii="Garamond" w:hAnsi="Garamond"/>
          <w:sz w:val="22"/>
          <w:szCs w:val="22"/>
          <w:lang w:val="en-US"/>
        </w:rPr>
        <w:t>aspx</w:t>
      </w:r>
      <w:r>
        <w:rPr>
          <w:rFonts w:cs="Garamond" w:ascii="Garamond" w:hAnsi="Garamond"/>
          <w:sz w:val="22"/>
          <w:szCs w:val="22"/>
        </w:rPr>
        <w:t xml:space="preserve"> (дата обращения 12.12.2019).</w:t>
      </w:r>
    </w:p>
    <w:sectPr>
      <w:headerReference w:type="default" r:id="rId17"/>
      <w:footerReference w:type="default" r:id="rId18"/>
      <w:footnotePr>
        <w:numFmt w:val="decimal"/>
        <w:numRestart w:val="eachSect"/>
      </w:footnotePr>
      <w:type w:val="nextPage"/>
      <w:pgSz w:w="11057" w:h="14740"/>
      <w:pgMar w:left="1134" w:right="1134" w:header="709" w:top="1134" w:footer="709" w:bottom="1134"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Times New Roman">
    <w:charset w:val="cc" w:characterSet="windows-1251"/>
    <w:family w:val="roman"/>
    <w:pitch w:val="variable"/>
  </w:font>
  <w:font w:name="Times">
    <w:altName w:val="Times New Roman"/>
    <w:charset w:val="00" w:characterSet="windows-1252"/>
    <w:family w:val="roman"/>
    <w:pitch w:val="variable"/>
  </w:font>
  <w:font w:name="Garamond">
    <w:charset w:val="cc" w:characterSet="windows-1251"/>
    <w:family w:val="roman"/>
    <w:pitch w:val="variable"/>
  </w:font>
  <w:font w:name="Liberation Sans">
    <w:altName w:val="Arial"/>
    <w:charset w:val="01" w:characterSet="utf-8"/>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7"/>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1" allowOverlap="1" relativeHeight="20">
              <wp:simplePos x="0" y="0"/>
              <wp:positionH relativeFrom="margin">
                <wp:align>center</wp:align>
              </wp:positionH>
              <wp:positionV relativeFrom="paragraph">
                <wp:posOffset>635</wp:posOffset>
              </wp:positionV>
              <wp:extent cx="267335" cy="162560"/>
              <wp:effectExtent l="0" t="0" r="0" b="0"/>
              <wp:wrapSquare wrapText="largest"/>
              <wp:docPr id="1" name="Врезка5"/>
              <a:graphic xmlns:a="http://schemas.openxmlformats.org/drawingml/2006/main">
                <a:graphicData uri="http://schemas.microsoft.com/office/word/2010/wordprocessingShape">
                  <wps:wsp>
                    <wps:cNvSpPr txBox="1"/>
                    <wps:spPr>
                      <a:xfrm>
                        <a:off x="0" y="0"/>
                        <a:ext cx="267335" cy="162560"/>
                      </a:xfrm>
                      <a:prstGeom prst="rect"/>
                      <a:solidFill>
                        <a:srgbClr val="FFFFFF">
                          <a:alpha val="0"/>
                        </a:srgbClr>
                      </a:solidFill>
                    </wps:spPr>
                    <wps:txbx>
                      <w:txbxContent>
                        <w:p>
                          <w:pPr>
                            <w:pStyle w:val="Style27"/>
                            <w:rPr>
                              <w:rStyle w:val="Style17"/>
                              <w:rFonts w:ascii="Garamond" w:hAnsi="Garamond" w:cs="Garamond"/>
                              <w:sz w:val="22"/>
                              <w:szCs w:val="22"/>
                            </w:rPr>
                          </w:pPr>
                          <w:r>
                            <w:rPr>
                              <w:rStyle w:val="Style17"/>
                              <w:rFonts w:cs="Garamond" w:ascii="Garamond" w:hAnsi="Garamond"/>
                              <w:sz w:val="22"/>
                              <w:szCs w:val="22"/>
                            </w:rPr>
                            <w:fldChar w:fldCharType="begin"/>
                          </w:r>
                          <w:r>
                            <w:rPr>
                              <w:rStyle w:val="Style17"/>
                              <w:sz w:val="22"/>
                              <w:szCs w:val="22"/>
                              <w:rFonts w:cs="Garamond" w:ascii="Garamond" w:hAnsi="Garamond"/>
                            </w:rPr>
                            <w:instrText> PAGE </w:instrText>
                          </w:r>
                          <w:r>
                            <w:rPr>
                              <w:rStyle w:val="Style17"/>
                              <w:sz w:val="22"/>
                              <w:szCs w:val="22"/>
                              <w:rFonts w:cs="Garamond" w:ascii="Garamond" w:hAnsi="Garamond"/>
                            </w:rPr>
                            <w:fldChar w:fldCharType="separate"/>
                          </w:r>
                          <w:r>
                            <w:rPr>
                              <w:rStyle w:val="Style17"/>
                              <w:sz w:val="22"/>
                              <w:szCs w:val="22"/>
                              <w:rFonts w:cs="Garamond" w:ascii="Garamond" w:hAnsi="Garamond"/>
                            </w:rPr>
                            <w:t>179</w:t>
                          </w:r>
                          <w:r>
                            <w:rPr>
                              <w:rStyle w:val="Style17"/>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21.05pt;height:12.8pt;mso-wrap-distance-left:0pt;mso-wrap-distance-right:0pt;mso-wrap-distance-top:0pt;mso-wrap-distance-bottom:0pt;margin-top:0.05pt;mso-position-vertical-relative:text;margin-left:209.2pt;mso-position-horizontal:center;mso-position-horizontal-relative:margin">
              <v:fill opacity="0f"/>
              <v:textbox>
                <w:txbxContent>
                  <w:p>
                    <w:pPr>
                      <w:pStyle w:val="Style27"/>
                      <w:rPr>
                        <w:rStyle w:val="Style17"/>
                        <w:rFonts w:ascii="Garamond" w:hAnsi="Garamond" w:cs="Garamond"/>
                        <w:sz w:val="22"/>
                        <w:szCs w:val="22"/>
                      </w:rPr>
                    </w:pPr>
                    <w:r>
                      <w:rPr>
                        <w:rStyle w:val="Style17"/>
                        <w:rFonts w:cs="Garamond" w:ascii="Garamond" w:hAnsi="Garamond"/>
                        <w:sz w:val="22"/>
                        <w:szCs w:val="22"/>
                      </w:rPr>
                      <w:fldChar w:fldCharType="begin"/>
                    </w:r>
                    <w:r>
                      <w:rPr>
                        <w:rStyle w:val="Style17"/>
                        <w:sz w:val="22"/>
                        <w:szCs w:val="22"/>
                        <w:rFonts w:cs="Garamond" w:ascii="Garamond" w:hAnsi="Garamond"/>
                      </w:rPr>
                      <w:instrText> PAGE </w:instrText>
                    </w:r>
                    <w:r>
                      <w:rPr>
                        <w:rStyle w:val="Style17"/>
                        <w:sz w:val="22"/>
                        <w:szCs w:val="22"/>
                        <w:rFonts w:cs="Garamond" w:ascii="Garamond" w:hAnsi="Garamond"/>
                      </w:rPr>
                      <w:fldChar w:fldCharType="separate"/>
                    </w:r>
                    <w:r>
                      <w:rPr>
                        <w:rStyle w:val="Style17"/>
                        <w:sz w:val="22"/>
                        <w:szCs w:val="22"/>
                        <w:rFonts w:cs="Garamond" w:ascii="Garamond" w:hAnsi="Garamond"/>
                      </w:rPr>
                      <w:t>179</w:t>
                    </w:r>
                    <w:r>
                      <w:rPr>
                        <w:rStyle w:val="Style17"/>
                        <w:sz w:val="22"/>
                        <w:szCs w:val="22"/>
                        <w:rFonts w:cs="Garamond" w:ascii="Garamond" w:hAnsi="Garamond"/>
                      </w:rPr>
                      <w:fldChar w:fldCharType="end"/>
                    </w:r>
                  </w:p>
                </w:txbxContent>
              </v:textbox>
              <w10:wrap type="square" side="largest"/>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7"/>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1" allowOverlap="1" relativeHeight="30">
              <wp:simplePos x="0" y="0"/>
              <wp:positionH relativeFrom="margin">
                <wp:align>center</wp:align>
              </wp:positionH>
              <wp:positionV relativeFrom="paragraph">
                <wp:posOffset>635</wp:posOffset>
              </wp:positionV>
              <wp:extent cx="267335" cy="162560"/>
              <wp:effectExtent l="0" t="0" r="0" b="0"/>
              <wp:wrapSquare wrapText="largest"/>
              <wp:docPr id="26" name="Врезка6"/>
              <a:graphic xmlns:a="http://schemas.openxmlformats.org/drawingml/2006/main">
                <a:graphicData uri="http://schemas.microsoft.com/office/word/2010/wordprocessingShape">
                  <wps:wsp>
                    <wps:cNvSpPr txBox="1"/>
                    <wps:spPr>
                      <a:xfrm>
                        <a:off x="0" y="0"/>
                        <a:ext cx="267335" cy="162560"/>
                      </a:xfrm>
                      <a:prstGeom prst="rect"/>
                      <a:solidFill>
                        <a:srgbClr val="FFFFFF">
                          <a:alpha val="0"/>
                        </a:srgbClr>
                      </a:solidFill>
                    </wps:spPr>
                    <wps:txbx>
                      <w:txbxContent>
                        <w:p>
                          <w:pPr>
                            <w:pStyle w:val="Style27"/>
                            <w:rPr/>
                          </w:pPr>
                          <w:r>
                            <w:rPr>
                              <w:rStyle w:val="Style17"/>
                              <w:rFonts w:cs="Garamond" w:ascii="Garamond" w:hAnsi="Garamond"/>
                              <w:sz w:val="22"/>
                              <w:szCs w:val="22"/>
                            </w:rPr>
                            <w:fldChar w:fldCharType="begin"/>
                          </w:r>
                          <w:r>
                            <w:rPr>
                              <w:rStyle w:val="Style17"/>
                              <w:sz w:val="22"/>
                              <w:szCs w:val="22"/>
                              <w:rFonts w:cs="Garamond" w:ascii="Garamond" w:hAnsi="Garamond"/>
                            </w:rPr>
                            <w:instrText> PAGE </w:instrText>
                          </w:r>
                          <w:r>
                            <w:rPr>
                              <w:rStyle w:val="Style17"/>
                              <w:sz w:val="22"/>
                              <w:szCs w:val="22"/>
                              <w:rFonts w:cs="Garamond" w:ascii="Garamond" w:hAnsi="Garamond"/>
                            </w:rPr>
                            <w:fldChar w:fldCharType="separate"/>
                          </w:r>
                          <w:r>
                            <w:rPr>
                              <w:rStyle w:val="Style17"/>
                              <w:sz w:val="22"/>
                              <w:szCs w:val="22"/>
                              <w:rFonts w:cs="Garamond" w:ascii="Garamond" w:hAnsi="Garamond"/>
                            </w:rPr>
                            <w:t>188</w:t>
                          </w:r>
                          <w:r>
                            <w:rPr>
                              <w:rStyle w:val="Style17"/>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21.05pt;height:12.8pt;mso-wrap-distance-left:0pt;mso-wrap-distance-right:0pt;mso-wrap-distance-top:0pt;mso-wrap-distance-bottom:0pt;margin-top:0.05pt;mso-position-vertical-relative:text;margin-left:209.2pt;mso-position-horizontal:center;mso-position-horizontal-relative:margin">
              <v:fill opacity="0f"/>
              <v:textbox>
                <w:txbxContent>
                  <w:p>
                    <w:pPr>
                      <w:pStyle w:val="Style27"/>
                      <w:rPr/>
                    </w:pPr>
                    <w:r>
                      <w:rPr>
                        <w:rStyle w:val="Style17"/>
                        <w:rFonts w:cs="Garamond" w:ascii="Garamond" w:hAnsi="Garamond"/>
                        <w:sz w:val="22"/>
                        <w:szCs w:val="22"/>
                      </w:rPr>
                      <w:fldChar w:fldCharType="begin"/>
                    </w:r>
                    <w:r>
                      <w:rPr>
                        <w:rStyle w:val="Style17"/>
                        <w:sz w:val="22"/>
                        <w:szCs w:val="22"/>
                        <w:rFonts w:cs="Garamond" w:ascii="Garamond" w:hAnsi="Garamond"/>
                      </w:rPr>
                      <w:instrText> PAGE </w:instrText>
                    </w:r>
                    <w:r>
                      <w:rPr>
                        <w:rStyle w:val="Style17"/>
                        <w:sz w:val="22"/>
                        <w:szCs w:val="22"/>
                        <w:rFonts w:cs="Garamond" w:ascii="Garamond" w:hAnsi="Garamond"/>
                      </w:rPr>
                      <w:fldChar w:fldCharType="separate"/>
                    </w:r>
                    <w:r>
                      <w:rPr>
                        <w:rStyle w:val="Style17"/>
                        <w:sz w:val="22"/>
                        <w:szCs w:val="22"/>
                        <w:rFonts w:cs="Garamond" w:ascii="Garamond" w:hAnsi="Garamond"/>
                      </w:rPr>
                      <w:t>188</w:t>
                    </w:r>
                    <w:r>
                      <w:rPr>
                        <w:rStyle w:val="Style17"/>
                        <w:sz w:val="22"/>
                        <w:szCs w:val="22"/>
                        <w:rFonts w:cs="Garamond" w:ascii="Garamond" w:hAnsi="Garamond"/>
                      </w:rPr>
                      <w:fldChar w:fldCharType="end"/>
                    </w:r>
                  </w:p>
                </w:txbxContent>
              </v:textbox>
              <w10:wrap type="square" side="largest"/>
            </v:rect>
          </w:pict>
        </mc:Fallback>
      </mc:AlternateContent>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rmal"/>
        <w:autoSpaceDE w:val="false"/>
        <w:ind w:end="-31" w:hanging="0"/>
        <w:jc w:val="both"/>
        <w:rPr/>
      </w:pPr>
      <w:r>
        <w:rPr>
          <w:rStyle w:val="Style14"/>
        </w:rPr>
        <w:footnoteRef/>
      </w:r>
      <w:r>
        <w:rPr>
          <w:rFonts w:eastAsia="Garamond" w:cs="Garamond" w:ascii="Garamond" w:hAnsi="Garamond"/>
        </w:rPr>
        <w:tab/>
        <w:t xml:space="preserve"> </w:t>
      </w:r>
      <w:r>
        <w:rPr>
          <w:rFonts w:cs="Garamond" w:ascii="Garamond" w:hAnsi="Garamond"/>
        </w:rPr>
        <w:t>Светлана Евгеньевна МАЛЫХ, кандидат исторических наук, старший научный сотрудник Института востоковедения РАН, Москва; malyh2002@mail.ru</w:t>
      </w:r>
    </w:p>
    <w:p>
      <w:pPr>
        <w:pStyle w:val="Style28"/>
        <w:ind w:end="-31" w:hanging="0"/>
        <w:jc w:val="both"/>
        <w:rPr/>
      </w:pPr>
      <w:r>
        <w:rPr>
          <w:rFonts w:eastAsia="Garamond" w:cs="Garamond" w:ascii="Garamond" w:hAnsi="Garamond"/>
          <w:sz w:val="20"/>
          <w:szCs w:val="20"/>
        </w:rPr>
        <w:tab/>
        <w:t xml:space="preserve">    </w:t>
      </w:r>
      <w:r>
        <w:rPr>
          <w:rFonts w:cs="Garamond" w:ascii="Garamond" w:hAnsi="Garamond"/>
          <w:sz w:val="20"/>
          <w:szCs w:val="20"/>
          <w:lang w:val="en-US"/>
        </w:rPr>
        <w:t>Svetlana E. MALYKH, PhD (History), Senior Research Fellow, Institute of Oriental Studies RAS, Moscow; malyh2002@mail.ru</w:t>
      </w:r>
    </w:p>
    <w:p>
      <w:pPr>
        <w:pStyle w:val="Style28"/>
        <w:ind w:end="-31" w:hanging="0"/>
        <w:jc w:val="both"/>
        <w:rPr/>
      </w:pPr>
      <w:r>
        <w:rPr>
          <w:rFonts w:eastAsia="Garamond" w:cs="Garamond" w:ascii="Garamond" w:hAnsi="Garamond"/>
          <w:sz w:val="20"/>
          <w:szCs w:val="20"/>
          <w:lang w:val="en-US"/>
        </w:rPr>
        <w:tab/>
        <w:t xml:space="preserve">   </w:t>
      </w:r>
      <w:r>
        <w:rPr>
          <w:rFonts w:cs="Garamond" w:ascii="Garamond" w:hAnsi="Garamond"/>
          <w:sz w:val="20"/>
          <w:szCs w:val="20"/>
        </w:rPr>
        <w:t xml:space="preserve">ORCID ID: </w:t>
      </w:r>
      <w:r>
        <w:rPr>
          <w:rFonts w:eastAsia="Calibri;Arial" w:cs="Garamond" w:ascii="Garamond" w:hAnsi="Garamond"/>
          <w:sz w:val="20"/>
          <w:szCs w:val="20"/>
        </w:rPr>
        <w:t>0000-0002-2077-7285</w:t>
      </w:r>
    </w:p>
  </w:footnote>
  <w:footnote w:id="3">
    <w:p>
      <w:pPr>
        <w:pStyle w:val="Style28"/>
        <w:ind w:end="-31" w:hanging="0"/>
        <w:jc w:val="both"/>
        <w:rPr/>
      </w:pPr>
      <w:r>
        <w:rPr>
          <w:rStyle w:val="Style14"/>
        </w:rPr>
        <w:footnoteRef/>
      </w:r>
      <w:r>
        <w:rPr>
          <w:rFonts w:eastAsia="Garamond" w:cs="Garamond" w:ascii="Garamond" w:hAnsi="Garamond"/>
          <w:sz w:val="20"/>
          <w:szCs w:val="20"/>
        </w:rPr>
        <w:tab/>
        <w:t xml:space="preserve"> </w:t>
      </w:r>
      <w:r>
        <w:rPr>
          <w:rFonts w:cs="Garamond" w:ascii="Garamond" w:hAnsi="Garamond"/>
          <w:sz w:val="20"/>
          <w:szCs w:val="20"/>
        </w:rPr>
        <w:t>[</w:t>
      </w:r>
      <w:r>
        <w:rPr>
          <w:rFonts w:cs="Garamond" w:ascii="Garamond" w:hAnsi="Garamond"/>
          <w:sz w:val="20"/>
          <w:szCs w:val="20"/>
          <w:lang w:val="en-US"/>
        </w:rPr>
        <w:t>Bonifay</w:t>
      </w:r>
      <w:r>
        <w:rPr>
          <w:rFonts w:cs="Garamond" w:ascii="Garamond" w:hAnsi="Garamond"/>
          <w:sz w:val="20"/>
          <w:szCs w:val="20"/>
        </w:rPr>
        <w:t xml:space="preserve">, 2004, </w:t>
      </w:r>
      <w:r>
        <w:rPr>
          <w:rFonts w:cs="Garamond" w:ascii="Garamond" w:hAnsi="Garamond"/>
          <w:sz w:val="20"/>
          <w:szCs w:val="20"/>
          <w:lang w:val="en-US"/>
        </w:rPr>
        <w:t>p</w:t>
      </w:r>
      <w:r>
        <w:rPr>
          <w:rFonts w:cs="Garamond" w:ascii="Garamond" w:hAnsi="Garamond"/>
          <w:sz w:val="20"/>
          <w:szCs w:val="20"/>
        </w:rPr>
        <w:t>.</w:t>
      </w:r>
      <w:r>
        <w:rPr>
          <w:rFonts w:cs="Garamond" w:ascii="Garamond" w:hAnsi="Garamond"/>
          <w:sz w:val="20"/>
          <w:szCs w:val="20"/>
          <w:lang w:val="en-US"/>
        </w:rPr>
        <w:t> </w:t>
      </w:r>
      <w:r>
        <w:rPr>
          <w:rFonts w:cs="Garamond" w:ascii="Garamond" w:hAnsi="Garamond"/>
          <w:sz w:val="20"/>
          <w:szCs w:val="20"/>
        </w:rPr>
        <w:t>447–448]. См. также африканские чаши-</w:t>
      </w:r>
      <w:r>
        <w:rPr>
          <w:rFonts w:cs="Garamond" w:ascii="Garamond" w:hAnsi="Garamond"/>
          <w:i/>
          <w:sz w:val="20"/>
          <w:szCs w:val="20"/>
        </w:rPr>
        <w:t>сигиллата</w:t>
      </w:r>
      <w:r>
        <w:rPr>
          <w:rFonts w:cs="Garamond" w:ascii="Garamond" w:hAnsi="Garamond"/>
          <w:sz w:val="20"/>
          <w:szCs w:val="20"/>
        </w:rPr>
        <w:t xml:space="preserve"> из собрания Британского музея, найденные на Сардинии, в Германии, Ливии (№ 1856,1223.402, 1856,1223.403, 1920,1118.25, 1973,0907.34, 1973,0105.47, 1973,0105.48). </w:t>
      </w:r>
      <w:r>
        <w:rPr>
          <w:rFonts w:cs="Garamond" w:ascii="Garamond" w:hAnsi="Garamond"/>
          <w:i/>
          <w:sz w:val="20"/>
          <w:szCs w:val="20"/>
          <w:lang w:val="en-US"/>
        </w:rPr>
        <w:t>British Museum. Collection online</w:t>
      </w:r>
      <w:r>
        <w:rPr>
          <w:rFonts w:cs="Garamond" w:ascii="Garamond" w:hAnsi="Garamond"/>
          <w:sz w:val="20"/>
          <w:szCs w:val="20"/>
          <w:lang w:val="en-US"/>
        </w:rPr>
        <w:t>. URL: http://www.britishmuseum.org/research/collection_online/search.aspx (</w:t>
      </w:r>
      <w:r>
        <w:rPr>
          <w:rFonts w:cs="Garamond" w:ascii="Garamond" w:hAnsi="Garamond"/>
          <w:sz w:val="20"/>
          <w:szCs w:val="20"/>
        </w:rPr>
        <w:t>дата</w:t>
      </w:r>
      <w:r>
        <w:rPr>
          <w:rFonts w:cs="Garamond" w:ascii="Garamond" w:hAnsi="Garamond"/>
          <w:sz w:val="20"/>
          <w:szCs w:val="20"/>
          <w:lang w:val="en-US"/>
        </w:rPr>
        <w:t xml:space="preserve"> </w:t>
      </w:r>
      <w:r>
        <w:rPr>
          <w:rFonts w:cs="Garamond" w:ascii="Garamond" w:hAnsi="Garamond"/>
          <w:sz w:val="20"/>
          <w:szCs w:val="20"/>
        </w:rPr>
        <w:t>обращения</w:t>
      </w:r>
      <w:r>
        <w:rPr>
          <w:rFonts w:cs="Garamond" w:ascii="Garamond" w:hAnsi="Garamond"/>
          <w:sz w:val="20"/>
          <w:szCs w:val="20"/>
          <w:lang w:val="en-US"/>
        </w:rPr>
        <w:t xml:space="preserve"> 12.12.2019).</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8820" w:type="dxa"/>
      <w:jc w:val="start"/>
      <w:tblInd w:w="0" w:type="dxa"/>
      <w:tblBorders>
        <w:bottom w:val="single" w:sz="12" w:space="0" w:color="000000"/>
        <w:insideH w:val="single" w:sz="12" w:space="0" w:color="000000"/>
      </w:tblBorders>
      <w:tblCellMar>
        <w:top w:w="0" w:type="dxa"/>
        <w:start w:w="108" w:type="dxa"/>
        <w:bottom w:w="0" w:type="dxa"/>
        <w:end w:w="108" w:type="dxa"/>
      </w:tblCellMar>
    </w:tblPr>
    <w:tblGrid>
      <w:gridCol w:w="8820"/>
    </w:tblGrid>
    <w:tr>
      <w:trPr/>
      <w:tc>
        <w:tcPr>
          <w:tcW w:w="8820" w:type="dxa"/>
          <w:tcBorders>
            <w:bottom w:val="single" w:sz="12" w:space="0" w:color="000000"/>
            <w:insideH w:val="single" w:sz="12" w:space="0" w:color="000000"/>
          </w:tcBorders>
          <w:shd w:fill="auto" w:val="clear"/>
        </w:tcPr>
        <w:p>
          <w:pPr>
            <w:pStyle w:val="Style29"/>
            <w:jc w:val="center"/>
            <w:rPr>
              <w:rFonts w:ascii="Garamond" w:hAnsi="Garamond" w:cs="Garamond"/>
              <w:color w:val="000000"/>
            </w:rPr>
          </w:pPr>
          <w:r>
            <w:rPr>
              <w:rFonts w:cs="Garamond" w:ascii="Garamond" w:hAnsi="Garamond"/>
            </w:rPr>
            <w:t>Малых С. Е. Гончарство тунисского Набёля: древние традиции и современность</w:t>
          </w:r>
        </w:p>
        <w:p>
          <w:pPr>
            <w:pStyle w:val="Style29"/>
            <w:jc w:val="center"/>
            <w:rPr>
              <w:rFonts w:ascii="Garamond" w:hAnsi="Garamond" w:cs="Garamond"/>
              <w:color w:val="000000"/>
              <w:sz w:val="8"/>
              <w:szCs w:val="8"/>
            </w:rPr>
          </w:pPr>
          <w:r>
            <w:rPr>
              <w:rFonts w:cs="Garamond" w:ascii="Garamond" w:hAnsi="Garamond"/>
              <w:color w:val="000000"/>
              <w:sz w:val="8"/>
              <w:szCs w:val="8"/>
            </w:rPr>
          </w:r>
        </w:p>
      </w:tc>
    </w:tr>
  </w:tbl>
  <w:p>
    <w:pPr>
      <w:pStyle w:val="Style29"/>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start"/>
      <w:pPr>
        <w:ind w:start="0" w:hanging="0"/>
      </w:pPr>
    </w:lvl>
    <w:lvl w:ilvl="1">
      <w:start w:val="1"/>
      <w:numFmt w:val="none"/>
      <w:suff w:val="nothing"/>
      <w:lvlText w:val=""/>
      <w:lvlJc w:val="start"/>
      <w:pPr>
        <w:ind w:start="0" w:hanging="0"/>
      </w:pPr>
    </w:lvl>
    <w:lvl w:ilvl="2">
      <w:start w:val="1"/>
      <w:numFmt w:val="none"/>
      <w:suff w:val="nothing"/>
      <w:lvlText w:val=""/>
      <w:lvlJc w:val="start"/>
      <w:pPr>
        <w:ind w:start="0" w:hanging="0"/>
      </w:pPr>
    </w:lvl>
    <w:lvl w:ilvl="3">
      <w:start w:val="1"/>
      <w:numFmt w:val="none"/>
      <w:suff w:val="nothing"/>
      <w:lvlText w:val=""/>
      <w:lvlJc w:val="start"/>
      <w:pPr>
        <w:ind w:start="0" w:hanging="0"/>
      </w:pPr>
    </w:lvl>
    <w:lvl w:ilvl="4">
      <w:start w:val="1"/>
      <w:pStyle w:val="5"/>
      <w:numFmt w:val="none"/>
      <w:suff w:val="nothing"/>
      <w:lvlText w:val=""/>
      <w:lvlJc w:val="start"/>
      <w:pPr>
        <w:ind w:start="0" w:hanging="0"/>
      </w:pPr>
    </w:lvl>
    <w:lvl w:ilvl="5">
      <w:start w:val="1"/>
      <w:numFmt w:val="none"/>
      <w:suff w:val="nothing"/>
      <w:lvlText w:val=""/>
      <w:lvlJc w:val="start"/>
      <w:pPr>
        <w:ind w:start="0" w:hanging="0"/>
      </w:pPr>
    </w:lvl>
    <w:lvl w:ilvl="6">
      <w:start w:val="1"/>
      <w:numFmt w:val="none"/>
      <w:suff w:val="nothing"/>
      <w:lvlText w:val=""/>
      <w:lvlJc w:val="start"/>
      <w:pPr>
        <w:ind w:start="0" w:hanging="0"/>
      </w:pPr>
    </w:lvl>
    <w:lvl w:ilvl="7">
      <w:start w:val="1"/>
      <w:numFmt w:val="none"/>
      <w:suff w:val="nothing"/>
      <w:lvlText w:val=""/>
      <w:lvlJc w:val="start"/>
      <w:pPr>
        <w:ind w:start="0" w:hanging="0"/>
      </w:pPr>
    </w:lvl>
    <w:lvl w:ilvl="8">
      <w:start w:val="1"/>
      <w:numFmt w:val="none"/>
      <w:suff w:val="nothing"/>
      <w:lvlText w:val=""/>
      <w:lvlJc w:val="start"/>
      <w:pPr>
        <w:ind w:start="0" w:hanging="0"/>
      </w:pPr>
    </w:lvl>
  </w:abstractNum>
  <w:num w:numId="1">
    <w:abstractNumId w:val="1"/>
  </w:num>
</w:numbering>
</file>

<file path=word/settings.xml><?xml version="1.0" encoding="utf-8"?>
<w:settings xmlns:w="http://schemas.openxmlformats.org/wordprocessingml/2006/main">
  <w:zoom w:percent="150"/>
  <w:defaultTabStop w:val="709"/>
  <w:footnotePr>
    <w:numFmt w:val="decimal"/>
    <w:numRestart w:val="eachSect"/>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ans CJK SC" w:cs="Lohit Devanagari"/>
        <w:sz w:val="24"/>
        <w:szCs w:val="24"/>
        <w:lang w:val="ru-RU" w:eastAsia="zh-CN" w:bidi="hi-IN"/>
      </w:rPr>
    </w:rPrDefault>
    <w:pPrDefault>
      <w:pPr/>
    </w:pPrDefault>
  </w:docDefaults>
  <w:style w:type="paragraph" w:styleId="Normal">
    <w:name w:val="Normal"/>
    <w:qFormat/>
    <w:pPr>
      <w:widowControl/>
      <w:bidi w:val="0"/>
    </w:pPr>
    <w:rPr>
      <w:rFonts w:ascii="Times New Roman" w:hAnsi="Times New Roman" w:eastAsia="Times New Roman" w:cs="Times New Roman"/>
      <w:color w:val="auto"/>
      <w:sz w:val="20"/>
      <w:szCs w:val="20"/>
      <w:lang w:val="ru-RU" w:bidi="ar-SA" w:eastAsia="zh-CN"/>
    </w:rPr>
  </w:style>
  <w:style w:type="paragraph" w:styleId="5">
    <w:name w:val="Heading 5"/>
    <w:basedOn w:val="Normal"/>
    <w:next w:val="Style23"/>
    <w:qFormat/>
    <w:pPr>
      <w:numPr>
        <w:ilvl w:val="4"/>
        <w:numId w:val="1"/>
      </w:numPr>
      <w:spacing w:before="280" w:after="280"/>
      <w:outlineLvl w:val="4"/>
    </w:pPr>
    <w:rPr>
      <w:rFonts w:ascii="Times" w:hAnsi="Times" w:eastAsia="MS Mincho;MS Gothic" w:cs="Times New Roman"/>
      <w:b/>
      <w:bCs/>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Style13">
    <w:name w:val="Основной шрифт абзаца"/>
    <w:qFormat/>
    <w:rPr/>
  </w:style>
  <w:style w:type="character" w:styleId="FooterChar">
    <w:name w:val="Footer Char"/>
    <w:qFormat/>
    <w:rPr>
      <w:rFonts w:ascii="Times New Roman" w:hAnsi="Times New Roman" w:eastAsia="Times New Roman" w:cs="Times New Roman"/>
      <w:sz w:val="20"/>
      <w:szCs w:val="20"/>
    </w:rPr>
  </w:style>
  <w:style w:type="character" w:styleId="FootnoteTextChar">
    <w:name w:val="Footnote Text Char"/>
    <w:qFormat/>
    <w:rPr>
      <w:rFonts w:ascii="Times New Roman" w:hAnsi="Times New Roman" w:eastAsia="Times New Roman" w:cs="Times New Roman"/>
    </w:rPr>
  </w:style>
  <w:style w:type="character" w:styleId="Style14">
    <w:name w:val="Символ сноски"/>
    <w:qFormat/>
    <w:rPr>
      <w:vertAlign w:val="superscript"/>
    </w:rPr>
  </w:style>
  <w:style w:type="character" w:styleId="BodyTextChar">
    <w:name w:val="Body Text Char"/>
    <w:qFormat/>
    <w:rPr>
      <w:rFonts w:ascii="Times New Roman" w:hAnsi="Times New Roman" w:cs="Times New Roman"/>
      <w:b/>
      <w:bCs/>
      <w:sz w:val="18"/>
      <w:szCs w:val="18"/>
      <w:lang w:val="en-US"/>
    </w:rPr>
  </w:style>
  <w:style w:type="character" w:styleId="Appleconvertedspace">
    <w:name w:val="apple-converted-space"/>
    <w:basedOn w:val="Style13"/>
    <w:qFormat/>
    <w:rPr/>
  </w:style>
  <w:style w:type="character" w:styleId="Heading5Char">
    <w:name w:val="Heading 5 Char"/>
    <w:qFormat/>
    <w:rPr>
      <w:rFonts w:ascii="Times" w:hAnsi="Times" w:cs="Times"/>
      <w:b/>
      <w:bCs/>
      <w:sz w:val="20"/>
      <w:szCs w:val="20"/>
    </w:rPr>
  </w:style>
  <w:style w:type="character" w:styleId="Style15">
    <w:name w:val="Интернет-ссылка"/>
    <w:rPr>
      <w:color w:val="0000FF"/>
      <w:u w:val="single"/>
    </w:rPr>
  </w:style>
  <w:style w:type="character" w:styleId="Style16">
    <w:name w:val="Посещённая гиперссылка"/>
    <w:rPr>
      <w:color w:val="800080"/>
      <w:u w:val="single"/>
    </w:rPr>
  </w:style>
  <w:style w:type="character" w:styleId="Style17">
    <w:name w:val="Номер страницы"/>
    <w:basedOn w:val="Style13"/>
    <w:rPr/>
  </w:style>
  <w:style w:type="character" w:styleId="Style18">
    <w:name w:val="Выделение"/>
    <w:basedOn w:val="Style13"/>
    <w:qFormat/>
    <w:rPr>
      <w:i/>
      <w:iCs/>
    </w:rPr>
  </w:style>
  <w:style w:type="character" w:styleId="NotedebasdepageCarCarCar">
    <w:name w:val="Note de bas de page Car Car Car Знак"/>
    <w:qFormat/>
    <w:rPr>
      <w:sz w:val="24"/>
      <w:szCs w:val="24"/>
      <w:lang w:val="ru-RU" w:bidi="ar-SA"/>
    </w:rPr>
  </w:style>
  <w:style w:type="character" w:styleId="1">
    <w:name w:val="Основной шрифт абзаца1"/>
    <w:qFormat/>
    <w:rPr/>
  </w:style>
  <w:style w:type="character" w:styleId="Shorttext">
    <w:name w:val="short_text"/>
    <w:basedOn w:val="Style13"/>
    <w:qFormat/>
    <w:rPr/>
  </w:style>
  <w:style w:type="character" w:styleId="WW8Dropcap0">
    <w:name w:val="WW8Dropcap0"/>
    <w:qFormat/>
    <w:rPr>
      <w:rFonts w:ascii="Garamond" w:hAnsi="Garamond" w:cs="Garamond"/>
      <w:sz w:val="112"/>
      <w:szCs w:val="24"/>
    </w:rPr>
  </w:style>
  <w:style w:type="character" w:styleId="Style19">
    <w:name w:val="Привязка сноски"/>
    <w:rPr>
      <w:vertAlign w:val="superscript"/>
    </w:rPr>
  </w:style>
  <w:style w:type="character" w:styleId="Style20">
    <w:name w:val="Привязка концевой сноски"/>
    <w:rPr>
      <w:vertAlign w:val="superscript"/>
    </w:rPr>
  </w:style>
  <w:style w:type="character" w:styleId="Style21">
    <w:name w:val="Символ концевой сноски"/>
    <w:qFormat/>
    <w:rPr/>
  </w:style>
  <w:style w:type="paragraph" w:styleId="Style22">
    <w:name w:val="Заголовок"/>
    <w:basedOn w:val="Normal"/>
    <w:next w:val="Style23"/>
    <w:qFormat/>
    <w:pPr>
      <w:keepNext w:val="true"/>
      <w:spacing w:before="240" w:after="120"/>
    </w:pPr>
    <w:rPr>
      <w:rFonts w:ascii="Liberation Sans" w:hAnsi="Liberation Sans" w:eastAsia="Noto Sans CJK SC" w:cs="Lohit Devanagari"/>
      <w:sz w:val="28"/>
      <w:szCs w:val="28"/>
    </w:rPr>
  </w:style>
  <w:style w:type="paragraph" w:styleId="Style23">
    <w:name w:val="Body Text"/>
    <w:basedOn w:val="Normal"/>
    <w:pPr>
      <w:widowControl w:val="false"/>
      <w:autoSpaceDE w:val="false"/>
      <w:ind w:start="40" w:hanging="0"/>
    </w:pPr>
    <w:rPr>
      <w:rFonts w:eastAsia="MS Mincho;MS Gothic"/>
      <w:b/>
      <w:bCs/>
      <w:sz w:val="18"/>
      <w:szCs w:val="18"/>
      <w:lang w:val="en-US"/>
    </w:rPr>
  </w:style>
  <w:style w:type="paragraph" w:styleId="Style24">
    <w:name w:val="List"/>
    <w:basedOn w:val="Style23"/>
    <w:pPr/>
    <w:rPr>
      <w:rFonts w:cs="Lohit Devanagari"/>
    </w:rPr>
  </w:style>
  <w:style w:type="paragraph" w:styleId="Style25">
    <w:name w:val="Caption"/>
    <w:basedOn w:val="Normal"/>
    <w:qFormat/>
    <w:pPr>
      <w:suppressLineNumbers/>
      <w:spacing w:before="120" w:after="120"/>
    </w:pPr>
    <w:rPr>
      <w:rFonts w:cs="Lohit Devanagari"/>
      <w:i/>
      <w:iCs/>
      <w:sz w:val="24"/>
      <w:szCs w:val="24"/>
    </w:rPr>
  </w:style>
  <w:style w:type="paragraph" w:styleId="Style26">
    <w:name w:val="Указатель"/>
    <w:basedOn w:val="Normal"/>
    <w:qFormat/>
    <w:pPr>
      <w:suppressLineNumbers/>
    </w:pPr>
    <w:rPr>
      <w:rFonts w:cs="Lohit Devanagari"/>
    </w:rPr>
  </w:style>
  <w:style w:type="paragraph" w:styleId="Style27">
    <w:name w:val="Footer"/>
    <w:basedOn w:val="Normal"/>
    <w:pPr/>
    <w:rPr/>
  </w:style>
  <w:style w:type="paragraph" w:styleId="Style28">
    <w:name w:val="Footnote Text"/>
    <w:basedOn w:val="Normal"/>
    <w:pPr/>
    <w:rPr>
      <w:sz w:val="24"/>
      <w:szCs w:val="24"/>
    </w:rPr>
  </w:style>
  <w:style w:type="paragraph" w:styleId="ListParagraph">
    <w:name w:val="List Paragraph"/>
    <w:basedOn w:val="Normal"/>
    <w:qFormat/>
    <w:pPr>
      <w:spacing w:before="0" w:after="0"/>
      <w:ind w:start="720" w:hanging="0"/>
      <w:contextualSpacing/>
    </w:pPr>
    <w:rPr/>
  </w:style>
  <w:style w:type="paragraph" w:styleId="Style29">
    <w:name w:val="Header"/>
    <w:basedOn w:val="Normal"/>
    <w:pPr>
      <w:tabs>
        <w:tab w:val="center" w:pos="4677" w:leader="none"/>
        <w:tab w:val="right" w:pos="9355" w:leader="none"/>
      </w:tabs>
    </w:pPr>
    <w:rPr/>
  </w:style>
  <w:style w:type="paragraph" w:styleId="Style30">
    <w:name w:val="Обычный (веб)"/>
    <w:basedOn w:val="Normal"/>
    <w:qFormat/>
    <w:pPr>
      <w:spacing w:before="280" w:after="280"/>
    </w:pPr>
    <w:rPr>
      <w:sz w:val="24"/>
      <w:szCs w:val="24"/>
    </w:rPr>
  </w:style>
  <w:style w:type="paragraph" w:styleId="Msonormalmailrucssattributepostfix">
    <w:name w:val="msonormal_mailru_css_attribute_postfix"/>
    <w:basedOn w:val="Normal"/>
    <w:qFormat/>
    <w:pPr>
      <w:spacing w:before="280" w:after="280"/>
    </w:pPr>
    <w:rPr>
      <w:sz w:val="24"/>
      <w:szCs w:val="24"/>
    </w:rPr>
  </w:style>
  <w:style w:type="paragraph" w:styleId="Style31">
    <w:name w:val="Содержимое таблицы"/>
    <w:basedOn w:val="Normal"/>
    <w:qFormat/>
    <w:pPr>
      <w:suppressLineNumbers/>
    </w:pPr>
    <w:rPr/>
  </w:style>
  <w:style w:type="paragraph" w:styleId="Style32">
    <w:name w:val="Заголовок таблицы"/>
    <w:basedOn w:val="Style31"/>
    <w:qFormat/>
    <w:pPr>
      <w:suppressLineNumbers/>
      <w:jc w:val="center"/>
    </w:pPr>
    <w:rPr>
      <w:b/>
      <w:bCs/>
    </w:rPr>
  </w:style>
  <w:style w:type="paragraph" w:styleId="Style33">
    <w:name w:val="Содержимое врезки"/>
    <w:basedOn w:val="Normal"/>
    <w:qFormat/>
    <w:pPr/>
    <w:rPr/>
  </w:style>
  <w:style w:type="numbering" w:styleId="WW8Num1">
    <w:name w:val="WW8Num1"/>
    <w:qFormat/>
  </w:style>
  <w:style w:type="numbering" w:styleId="WW8Num2">
    <w:name w:val="WW8Num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jpeg"/><Relationship Id="rId14" Type="http://schemas.openxmlformats.org/officeDocument/2006/relationships/image" Target="media/image12.jpeg"/><Relationship Id="rId15" Type="http://schemas.openxmlformats.org/officeDocument/2006/relationships/image" Target="media/image13.jpeg"/><Relationship Id="rId16" Type="http://schemas.openxmlformats.org/officeDocument/2006/relationships/image" Target="media/image14.jpeg"/><Relationship Id="rId17" Type="http://schemas.openxmlformats.org/officeDocument/2006/relationships/header" Target="header1.xml"/><Relationship Id="rId18" Type="http://schemas.openxmlformats.org/officeDocument/2006/relationships/footer" Target="footer2.xml"/><Relationship Id="rId19" Type="http://schemas.openxmlformats.org/officeDocument/2006/relationships/footnotes" Target="footnotes.xml"/><Relationship Id="rId20" Type="http://schemas.openxmlformats.org/officeDocument/2006/relationships/numbering" Target="numbering.xml"/><Relationship Id="rId21" Type="http://schemas.openxmlformats.org/officeDocument/2006/relationships/fontTable" Target="fontTable.xml"/><Relationship Id="rId22"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Normal.dot</Template>
  <TotalTime>357</TotalTime>
  <Application>LibreOffice/6.0.7.3$Linux_X86_64 LibreOffice_project/00m0$Build-3</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2018-03-18T21:15:00Z</dcterms:created>
  <dc:creator>Vestnik IOS RAS</dc:creator>
  <dc:description/>
  <cp:keywords/>
  <dc:language>ru-RU</dc:language>
  <cp:lastModifiedBy>User</cp:lastModifiedBy>
  <dcterms:modified xsi:type="dcterms:W3CDTF">2020-03-25T21:55:00Z</dcterms:modified>
  <cp:revision>224</cp:revision>
  <dc:subject/>
  <dc:title>РУБРИКА: РЕЦЕНЗИИ; к юбилею ИВ РАН (</dc:title>
</cp:coreProperties>
</file>