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media/image1.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end="-31" w:hanging="0"/>
        <w:jc w:val="center"/>
        <w:rPr>
          <w:rFonts w:ascii="Garamond" w:hAnsi="Garamond" w:cs="Garamond"/>
          <w:b/>
          <w:b/>
          <w:sz w:val="24"/>
          <w:szCs w:val="24"/>
        </w:rPr>
      </w:pPr>
      <w:r>
        <w:rPr>
          <w:rFonts w:cs="Garamond" w:ascii="Garamond" w:hAnsi="Garamond"/>
          <w:b/>
          <w:caps/>
          <w:sz w:val="24"/>
          <w:szCs w:val="24"/>
        </w:rPr>
        <w:t>К Юбилею В. В. Наумкина</w:t>
      </w:r>
    </w:p>
    <w:tbl>
      <w:tblPr>
        <w:tblW w:w="8820" w:type="dxa"/>
        <w:jc w:val="start"/>
        <w:tblInd w:w="0" w:type="dxa"/>
        <w:tblBorders>
          <w:bottom w:val="thickThinMediumGap" w:sz="24" w:space="0" w:color="000000"/>
          <w:insideH w:val="thickThinMediumGap" w:sz="24" w:space="0" w:color="000000"/>
        </w:tblBorders>
        <w:tblCellMar>
          <w:top w:w="0" w:type="dxa"/>
          <w:start w:w="108" w:type="dxa"/>
          <w:bottom w:w="0" w:type="dxa"/>
          <w:end w:w="108" w:type="dxa"/>
        </w:tblCellMar>
      </w:tblPr>
      <w:tblGrid>
        <w:gridCol w:w="8820"/>
      </w:tblGrid>
      <w:tr>
        <w:trPr/>
        <w:tc>
          <w:tcPr>
            <w:tcW w:w="8820" w:type="dxa"/>
            <w:tcBorders>
              <w:bottom w:val="thickThinMediumGap" w:sz="24" w:space="0" w:color="000000"/>
              <w:insideH w:val="thickThinMediumGap" w:sz="24" w:space="0" w:color="000000"/>
            </w:tcBorders>
            <w:shd w:fill="auto" w:val="clear"/>
          </w:tcPr>
          <w:p>
            <w:pPr>
              <w:pStyle w:val="Normal"/>
              <w:snapToGrid w:val="false"/>
              <w:ind w:end="-31" w:hanging="0"/>
              <w:jc w:val="center"/>
              <w:rPr>
                <w:rFonts w:ascii="Garamond" w:hAnsi="Garamond" w:cs="Garamond"/>
                <w:b/>
                <w:b/>
                <w:caps/>
                <w:sz w:val="12"/>
                <w:szCs w:val="12"/>
              </w:rPr>
            </w:pPr>
            <w:r>
              <w:rPr>
                <w:rFonts w:cs="Garamond" w:ascii="Garamond" w:hAnsi="Garamond"/>
                <w:b/>
                <w:caps/>
                <w:sz w:val="12"/>
                <w:szCs w:val="12"/>
              </w:rPr>
            </w:r>
          </w:p>
        </w:tc>
      </w:tr>
    </w:tbl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/>
      </w:pPr>
      <w:r>
        <w:rPr>
          <w:rFonts w:cs="Garamond" w:ascii="Garamond" w:hAnsi="Garamond"/>
          <w:b/>
          <w:caps/>
          <w:sz w:val="26"/>
          <w:szCs w:val="26"/>
        </w:rPr>
        <w:t>75 лет академику РАН</w:t>
      </w:r>
    </w:p>
    <w:p>
      <w:pPr>
        <w:pStyle w:val="Normal"/>
        <w:ind w:end="-31" w:hanging="0"/>
        <w:jc w:val="center"/>
        <w:rPr>
          <w:rFonts w:ascii="Garamond" w:hAnsi="Garamond" w:cs="Garamond"/>
          <w:b/>
          <w:b/>
          <w:caps/>
          <w:sz w:val="26"/>
          <w:szCs w:val="26"/>
        </w:rPr>
      </w:pPr>
      <w:r>
        <w:rPr>
          <w:rFonts w:cs="Garamond" w:ascii="Garamond" w:hAnsi="Garamond"/>
          <w:b/>
          <w:caps/>
          <w:sz w:val="26"/>
          <w:szCs w:val="26"/>
        </w:rPr>
        <w:t>Виталию Вячеславовичу Наумкину,</w:t>
      </w:r>
    </w:p>
    <w:p>
      <w:pPr>
        <w:pStyle w:val="Normal"/>
        <w:ind w:end="-31" w:hanging="0"/>
        <w:jc w:val="center"/>
        <w:rPr>
          <w:rFonts w:ascii="Garamond" w:hAnsi="Garamond" w:cs="Garamond"/>
          <w:b/>
          <w:b/>
          <w:caps/>
          <w:sz w:val="26"/>
          <w:szCs w:val="26"/>
        </w:rPr>
      </w:pPr>
      <w:r>
        <w:rPr>
          <w:rFonts w:cs="Garamond" w:ascii="Garamond" w:hAnsi="Garamond"/>
          <w:b/>
          <w:caps/>
          <w:sz w:val="26"/>
          <w:szCs w:val="26"/>
        </w:rPr>
        <w:t>главному редактору журнала</w:t>
      </w:r>
    </w:p>
    <w:p>
      <w:pPr>
        <w:pStyle w:val="Normal"/>
        <w:ind w:end="-31" w:hanging="0"/>
        <w:jc w:val="center"/>
        <w:rPr>
          <w:rFonts w:ascii="Garamond" w:hAnsi="Garamond" w:cs="Garamond"/>
          <w:b/>
          <w:b/>
          <w:caps/>
          <w:sz w:val="26"/>
          <w:szCs w:val="26"/>
        </w:rPr>
      </w:pPr>
      <w:r>
        <w:rPr>
          <w:rFonts w:cs="Garamond" w:ascii="Garamond" w:hAnsi="Garamond"/>
          <w:b/>
          <w:caps/>
          <w:sz w:val="26"/>
          <w:szCs w:val="26"/>
        </w:rPr>
        <w:t>«Вестник Института востоковедения РАН»</w:t>
      </w:r>
    </w:p>
    <w:p>
      <w:pPr>
        <w:pStyle w:val="Normal"/>
        <w:ind w:end="-31" w:firstLine="720"/>
        <w:rPr>
          <w:rFonts w:ascii="Garamond" w:hAnsi="Garamond" w:cs="Garamond"/>
          <w:b/>
          <w:b/>
          <w:caps/>
          <w:sz w:val="24"/>
          <w:szCs w:val="24"/>
        </w:rPr>
      </w:pPr>
      <w:r>
        <w:rPr>
          <w:rFonts w:cs="Garamond" w:ascii="Garamond" w:hAnsi="Garamond"/>
          <w:b/>
          <w:caps/>
          <w:sz w:val="24"/>
          <w:szCs w:val="24"/>
        </w:rPr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 xml:space="preserve">Огромный научный талант и весь блестящий творческий путь действительного члена Российской Академии наук, доктора исторических наук, профессора Виталия Вячеславовича Наумкина отличают, как нам кажется, две основные черты — с одной стороны, удивительная разносторонность научных интересов, а с другой — их органическая целостность, неразделенность. 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Виталий Вячеславович с первых шагов в жизни, а родился он в Екатеринбурге, тогда Свердловске, в победном мае 1945 года, выделялся своими способностями — золотая медаль по окончании школы, диплом с отличием по завершении учебы в Московском госуниверситете. Он — арабист, что называется, от Бога, один из лучших переводчиков-синхронистов. В Йемене с его суровым климатом он провел пять лет, выполняя фактически функции советника высшего южнойеменского руководства и не забывая при этом о научных штудиях. По возращении в Москву он издает комментированный перевод средневекового трактата знаменитого Аль-Газали.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В 36 лет В. В. Наумкин защищает докторскую диссертацию и, перейдя по приглашению академика Е .М. Примакова в Институт востоковедения, в скором времени становится руководителем Арабского отдела, а затем — заместителем директора. Размах его научно-преподавательской деятельности поражает: подготовлены более 50 кандидатов, 7 докторов наук, среди них много иностранцев.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После распада СССР Виталий Вячеславович еще в большей степени, чем раньше, занимается острыми современными проблемами, связанными прежде всего с внутритаджикским конфликтом, становится сопредседателем авторитетнейшей российско-американской Дартмутской конференции, издает много книг за рубежом на арабском, английском и других языках о радикальном исламе и этнических проблемах в Центральной Азии. Ислам и связанные с ним острые этноконфессиональные проблемы послужили тем мостиком, который соединил два региона научных интересов В. В. Наумкина — арабский Ближний Восток и бывшую советскую Среднюю Азию.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 xml:space="preserve">Новый этап в его деятельности начался с избрания на пост директора Института востоковедения РАН в 2009 г. Встав во главе Института, В. В. Наумкин уделил главное внимание не контролю за соблюдением внутренних норм и правил, а расширению значимости и востребованности выполняемой коллективом научной и научно-аналитической работы. И ему самому, и Институту удалось, на наш взгляд, добиться на этом пути впечатляющих результатов. </w:t>
      </w:r>
    </w:p>
    <w:p>
      <w:pPr>
        <w:sectPr>
          <w:footerReference w:type="default" r:id="rId2"/>
          <w:type w:val="nextPage"/>
          <w:pgSz w:w="11057" w:h="14740"/>
          <w:pgMar w:left="1134" w:right="1134" w:header="0" w:top="1134" w:footer="709" w:bottom="1134" w:gutter="0"/>
          <w:pgNumType w:start="12" w:fmt="decimal"/>
          <w:formProt w:val="false"/>
          <w:textDirection w:val="lrTb"/>
          <w:docGrid w:type="default" w:linePitch="360" w:charSpace="0"/>
        </w:sect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 xml:space="preserve">И во время директорства (до 2015 г.) и в дальнейшем, став Научным руководителем ИВ РАН, В. В. Наумкин определял главные направления научного поиска, заботился о пополнении Института молодыми и опытными научными кадрами. Его интересы не ограничиваются арабским миром, но во многом благодаря ему, </w:t>
      </w:r>
    </w:p>
    <w:p>
      <w:pPr>
        <w:pStyle w:val="Normal"/>
        <w:ind w:end="-31" w:hanging="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ближневосточное направление и исламская проблематика остаются «визитной карточкой» Института.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 xml:space="preserve">Сам Виталий Вячеславович сделал за последние годы невероятно много. И в том, что он написал и издал, отчетливо проявились уже отмеченные нами органическое единство и разносторонность его научных интересов. Продолжая исследования по Йемену, В. В. Наумкин возглавил творческий коллектив по изучению истории, культуры и языка жителей островов архипелага Сокотра, принадлежащего Йемену. Экспедиции на острова, в которых он принимал непосредственное участие, привели к открытиям мирового значения. Изданные издательством </w:t>
      </w:r>
      <w:r>
        <w:rPr>
          <w:rFonts w:cs="Garamond" w:ascii="Garamond" w:hAnsi="Garamond"/>
          <w:i/>
          <w:iCs/>
          <w:sz w:val="24"/>
          <w:szCs w:val="24"/>
        </w:rPr>
        <w:t>Brill</w:t>
      </w:r>
      <w:r>
        <w:rPr>
          <w:rFonts w:cs="Garamond" w:ascii="Garamond" w:hAnsi="Garamond"/>
          <w:sz w:val="24"/>
          <w:szCs w:val="24"/>
        </w:rPr>
        <w:t xml:space="preserve"> тома по устному творчеству сокотрийцев создали ему и его коллегам славу крупнейших в мире специалистов в области сокотрийской этнолингвистики. Книга В. В. Наумкина «Острова архипелага Сокотра (экспедиции 1974–2010 гг.)» была отмечена премией имени академика С. Ф. Ольденбурга.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Арабист-международник по призванию и незаурядному таланту, Виталий Вячеславович оказался незаменим для Министерства иностранных дел России в процессе организации и проведения международных встреч по решению сирийской проблемы. Высокую оценку получила его работа старшим политическим советником Спецпосланника Генсека ООН по Сирии.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Остается поражаться, что при огромной загруженности текущими делами, активно участвуя в работе Совета по внешней и оборонной политике РФ, международного дискуссионного клуба «Валдай», возглавляя кафедру Факультета мировой политики МГУ им. М. В. Ломоносова, будучи деканом восточного факультета ГАУГН (Государственного академического университета гуманитарных наук) и главным редактором журналов «Восток», «Вестник Института востоковедения РАН», «Восточная аналитика» и ряда других, В. В. Наумкин находит время для подготовки совершенно новых для себя академических трудов. В 2018 г. увидела свет его прекрасно изданная книга «Несостоявшееся партнерство. Советская дипломатия и Саудовская Аравия между мировыми войнами». В монографии раскрылась новая грань таланта Виталия Вячеславовича — увлеченность архивными исследованиями, изысканиями в области недавней истории, в том числе и истории нашей страны. В предисловии к книге автор упоминает о желании написать новую монографию, посвященную теме царской дипломатии и политике дореволюционной России в отношении святых для мусульман мест на Аравийском полуострове. Им уже опубликованы статьи на эту тему, и читаются они с большим интересом. Специалисты по современным проблемам международных отношений и ситуации на Ближнем Востоке с не меньшей заинтересованностью встречают появление его теоретических статей и коллективных монографий, выходящих под его редакцией и при авторском участии.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Хорошо известно, что авторитет и обаяние ученого способствовали тому, что осенью 2018 г. Институту востоковедения РАН удалось широко отметить свой 200-летний юбилей. В московском Центре международной торговли в течение двух дней проходил Международный конгресс с участием видных российских и иностранных востоковедов, общественных деятелей и дипломатов. В рамках Конгресса состоялись тематические научные конференции, семинары и круглые столы. Конгресс стал признанием мировых заслуг отечественного востоковедения, и огромную роль в этом сыграл Научный руководитель Института академик В. В. Наумкин.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В заключение хочется искренне поздравить Виталия Вячеславовича со знаменательным юбилеем, еще раз поздравить его с Государственной премией в области науки, которой он был удостоен в прошлом году, и пожелать ему доброго здоровья, долгих лет плодотворной работы, счастья и благополучия родным и близким. Будем надеяться, что под его научным руководством наш Институт преодолеет все сложности нынешнего момента и добьется заметных новых успехов в своей многогранной деятельности.</w:t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>доктор исторических наук, профессор,</w:t>
      </w:r>
    </w:p>
    <w:p>
      <w:pPr>
        <w:pStyle w:val="Normal"/>
        <w:ind w:end="-31" w:firstLine="720"/>
        <w:jc w:val="end"/>
        <w:rPr/>
      </w:pPr>
      <w:r>
        <w:rPr>
          <w:rFonts w:cs="Garamond" w:ascii="Garamond" w:hAnsi="Garamond"/>
          <w:i/>
          <w:sz w:val="24"/>
          <w:szCs w:val="24"/>
        </w:rPr>
        <w:t>заведующий Центром изучения стран Ближнего и Среднего Востока</w:t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>Института востоковедения РАН</w:t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>В. Я. БЕЛОКРЕНИЦКИЙ</w:t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>кандидат исторических наук,</w:t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>заместитель директора Института востоковедения РАН,</w:t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>заместитель главного редактора журнала «Вестник Института востоковедения РАН»</w:t>
      </w:r>
    </w:p>
    <w:p>
      <w:pPr>
        <w:pStyle w:val="Normal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>Н. Г. РОМАНОВА</w:t>
      </w:r>
    </w:p>
    <w:p>
      <w:pPr>
        <w:pStyle w:val="Normal"/>
        <w:ind w:end="-31" w:firstLine="720"/>
        <w:rPr>
          <w:rFonts w:ascii="Garamond" w:hAnsi="Garamond" w:cs="Garamond"/>
          <w:i/>
          <w:i/>
          <w:sz w:val="22"/>
          <w:szCs w:val="22"/>
        </w:rPr>
      </w:pPr>
      <w:r>
        <w:rPr>
          <w:rFonts w:cs="Garamond" w:ascii="Garamond" w:hAnsi="Garamond"/>
          <w:i/>
          <w:sz w:val="22"/>
          <w:szCs w:val="22"/>
        </w:rPr>
      </w:r>
    </w:p>
    <w:p>
      <w:pPr>
        <w:pStyle w:val="Normal"/>
        <w:ind w:end="-31" w:hanging="0"/>
        <w:jc w:val="center"/>
        <w:rPr>
          <w:rFonts w:ascii="Garamond" w:hAnsi="Garamond" w:cs="Garamond"/>
          <w:i/>
          <w:i/>
          <w:sz w:val="22"/>
          <w:szCs w:val="22"/>
        </w:rPr>
      </w:pPr>
      <w:r>
        <w:rPr>
          <w:rFonts w:cs="Garamond" w:ascii="Garamond" w:hAnsi="Garamond"/>
          <w:i/>
          <w:sz w:val="22"/>
          <w:szCs w:val="22"/>
        </w:rPr>
        <w:drawing>
          <wp:inline distT="0" distB="0" distL="0" distR="0">
            <wp:extent cx="4994275" cy="4567555"/>
            <wp:effectExtent l="0" t="0" r="0" b="0"/>
            <wp:docPr id="2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end="-31" w:hanging="0"/>
        <w:jc w:val="center"/>
        <w:rPr>
          <w:rFonts w:ascii="Garamond" w:hAnsi="Garamond" w:cs="Garamond"/>
          <w:sz w:val="22"/>
          <w:szCs w:val="22"/>
        </w:rPr>
      </w:pPr>
      <w:r>
        <w:rPr>
          <w:rFonts w:cs="Garamond" w:ascii="Garamond" w:hAnsi="Garamond"/>
          <w:sz w:val="22"/>
          <w:szCs w:val="22"/>
        </w:rPr>
        <w:t>В. В. Наумкин в гостях у старого бедуина. Сокотра, первые годы Йеменской экспедиции</w:t>
      </w:r>
    </w:p>
    <w:p>
      <w:pPr>
        <w:pStyle w:val="Normal"/>
        <w:ind w:end="-31" w:hanging="0"/>
        <w:jc w:val="center"/>
        <w:rPr/>
      </w:pPr>
      <w:r>
        <w:rPr>
          <w:rFonts w:cs="Garamond" w:ascii="Garamond" w:hAnsi="Garamond"/>
          <w:sz w:val="22"/>
          <w:szCs w:val="22"/>
        </w:rPr>
        <w:t>(</w:t>
      </w:r>
      <w:r>
        <w:rPr>
          <w:rFonts w:cs="Garamond" w:ascii="Garamond" w:hAnsi="Garamond"/>
          <w:i/>
          <w:sz w:val="22"/>
          <w:szCs w:val="22"/>
        </w:rPr>
        <w:t>фото из архива В. В. Наумкина</w:t>
      </w:r>
      <w:r>
        <w:rPr>
          <w:rFonts w:cs="Garamond" w:ascii="Garamond" w:hAnsi="Garamond"/>
          <w:sz w:val="22"/>
          <w:szCs w:val="22"/>
        </w:rPr>
        <w:t>)</w:t>
      </w:r>
    </w:p>
    <w:sectPr>
      <w:headerReference w:type="default" r:id="rId4"/>
      <w:footerReference w:type="default" r:id="rId5"/>
      <w:type w:val="nextPage"/>
      <w:pgSz w:w="11057" w:h="14740"/>
      <w:pgMar w:left="1134" w:right="1134" w:header="709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Times">
    <w:altName w:val="Times New Roman"/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Garamond">
    <w:charset w:val="cc" w:characterSet="windows-125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rPr>
        <w:rFonts w:ascii="Garamond" w:hAnsi="Garamond" w:cs="Garamond"/>
        <w:sz w:val="22"/>
        <w:szCs w:val="22"/>
      </w:rPr>
    </w:pPr>
    <w:r>
      <w:rPr>
        <w:rFonts w:cs="Garamond" w:ascii="Garamond" w:hAnsi="Garamond"/>
        <w:sz w:val="22"/>
        <w:szCs w:val="22"/>
      </w:rPr>
    </w:r>
    <w:r>
      <mc:AlternateContent>
        <mc:Choice Requires="wps">
          <w:drawing>
            <wp:anchor behindDoc="0" distT="0" distB="0" distL="0" distR="0" simplePos="0" locked="0" layoutInCell="1" allowOverlap="1" relativeHeight="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162560"/>
              <wp:effectExtent l="0" t="0" r="0" b="0"/>
              <wp:wrapSquare wrapText="largest"/>
              <wp:docPr id="1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rPr>
                              <w:rStyle w:val="Style17"/>
                              <w:rFonts w:ascii="Garamond" w:hAnsi="Garamond" w:cs="Garamond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Style17"/>
                              <w:rFonts w:cs="Garamond" w:ascii="Garamond" w:hAnsi="Garamond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instrText> PAGE </w:instrTex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separate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t>13</w: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4.05pt;height:12.8pt;mso-wrap-distance-left:0pt;mso-wrap-distance-right:0pt;mso-wrap-distance-top:0pt;mso-wrap-distance-bottom:0pt;margin-top:0.05pt;mso-position-vertical-relative:text;margin-left:212.7pt;mso-position-horizontal:center;mso-position-horizontal-relative:margin">
              <v:fill opacity="0f"/>
              <v:textbox>
                <w:txbxContent>
                  <w:p>
                    <w:pPr>
                      <w:pStyle w:val="Style24"/>
                      <w:rPr>
                        <w:rStyle w:val="Style17"/>
                        <w:rFonts w:ascii="Garamond" w:hAnsi="Garamond" w:cs="Garamond"/>
                        <w:sz w:val="22"/>
                        <w:szCs w:val="22"/>
                      </w:rPr>
                    </w:pPr>
                    <w:r>
                      <w:rPr>
                        <w:rStyle w:val="Style17"/>
                        <w:rFonts w:cs="Garamond" w:ascii="Garamond" w:hAnsi="Garamond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instrText> PAGE </w:instrTex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separate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t>13</w: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rPr>
        <w:rFonts w:ascii="Garamond" w:hAnsi="Garamond" w:cs="Garamond"/>
        <w:sz w:val="22"/>
        <w:szCs w:val="22"/>
      </w:rPr>
    </w:pPr>
    <w:r>
      <w:rPr>
        <w:rFonts w:cs="Garamond" w:ascii="Garamond" w:hAnsi="Garamond"/>
        <w:sz w:val="22"/>
        <w:szCs w:val="22"/>
      </w:rPr>
    </w:r>
    <w:r>
      <mc:AlternateContent>
        <mc:Choice Requires="wps">
          <w:drawing>
            <wp:anchor behindDoc="0" distT="0" distB="0" distL="0" distR="0" simplePos="0" locked="0" layoutInCell="1" allowOverlap="1" relativeHeight="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162560"/>
              <wp:effectExtent l="0" t="0" r="0" b="0"/>
              <wp:wrapSquare wrapText="largest"/>
              <wp:docPr id="3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rPr/>
                          </w:pPr>
                          <w:r>
                            <w:rPr>
                              <w:rStyle w:val="Style17"/>
                              <w:rFonts w:cs="Garamond" w:ascii="Garamond" w:hAnsi="Garamond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instrText> PAGE </w:instrTex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separate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t>16</w: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4.05pt;height:12.8pt;mso-wrap-distance-left:0pt;mso-wrap-distance-right:0pt;mso-wrap-distance-top:0pt;mso-wrap-distance-bottom:0pt;margin-top:0.05pt;mso-position-vertical-relative:text;margin-left:212.7pt;mso-position-horizontal:center;mso-position-horizontal-relative:margin">
              <v:fill opacity="0f"/>
              <v:textbox>
                <w:txbxContent>
                  <w:p>
                    <w:pPr>
                      <w:pStyle w:val="Style24"/>
                      <w:rPr/>
                    </w:pPr>
                    <w:r>
                      <w:rPr>
                        <w:rStyle w:val="Style17"/>
                        <w:rFonts w:cs="Garamond" w:ascii="Garamond" w:hAnsi="Garamond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instrText> PAGE </w:instrTex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separate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t>16</w: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820" w:type="dxa"/>
      <w:jc w:val="start"/>
      <w:tblInd w:w="0" w:type="dxa"/>
      <w:tblBorders>
        <w:bottom w:val="single" w:sz="12" w:space="0" w:color="000000"/>
        <w:insideH w:val="single" w:sz="12" w:space="0" w:color="000000"/>
      </w:tblBorders>
      <w:tblCellMar>
        <w:top w:w="0" w:type="dxa"/>
        <w:start w:w="108" w:type="dxa"/>
        <w:bottom w:w="0" w:type="dxa"/>
        <w:end w:w="108" w:type="dxa"/>
      </w:tblCellMar>
    </w:tblPr>
    <w:tblGrid>
      <w:gridCol w:w="8820"/>
    </w:tblGrid>
    <w:tr>
      <w:trPr/>
      <w:tc>
        <w:tcPr>
          <w:tcW w:w="8820" w:type="dxa"/>
          <w:tcBorders>
            <w:bottom w:val="single" w:sz="12" w:space="0" w:color="000000"/>
            <w:insideH w:val="single" w:sz="12" w:space="0" w:color="000000"/>
          </w:tcBorders>
          <w:shd w:fill="auto" w:val="clear"/>
        </w:tcPr>
        <w:p>
          <w:pPr>
            <w:pStyle w:val="Style26"/>
            <w:jc w:val="center"/>
            <w:rPr>
              <w:rFonts w:ascii="Garamond" w:hAnsi="Garamond" w:cs="Garamond"/>
              <w:color w:val="000000"/>
            </w:rPr>
          </w:pPr>
          <w:r>
            <w:rPr>
              <w:rFonts w:cs="Garamond" w:ascii="Garamond" w:hAnsi="Garamond"/>
            </w:rPr>
            <w:t>Белокреницкий В. Я., Романова Н. Г. 75 лет академику РАН Виталию Вячеславовичу Наумкину</w:t>
          </w:r>
        </w:p>
        <w:p>
          <w:pPr>
            <w:pStyle w:val="Style26"/>
            <w:jc w:val="center"/>
            <w:rPr>
              <w:rFonts w:ascii="Garamond" w:hAnsi="Garamond" w:cs="Garamond"/>
              <w:color w:val="000000"/>
              <w:sz w:val="8"/>
              <w:szCs w:val="8"/>
            </w:rPr>
          </w:pPr>
          <w:r>
            <w:rPr>
              <w:rFonts w:cs="Garamond" w:ascii="Garamond" w:hAnsi="Garamond"/>
              <w:color w:val="000000"/>
              <w:sz w:val="8"/>
              <w:szCs w:val="8"/>
            </w:rPr>
          </w:r>
        </w:p>
      </w:tc>
    </w:tr>
  </w:tbl>
  <w:p>
    <w:pPr>
      <w:pStyle w:val="Style26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start"/>
      <w:pPr>
        <w:ind w:start="0" w:hanging="0"/>
      </w:pPr>
    </w:lvl>
    <w:lvl w:ilvl="1">
      <w:start w:val="1"/>
      <w:numFmt w:val="none"/>
      <w:suff w:val="nothing"/>
      <w:lvlText w:val=""/>
      <w:lvlJc w:val="start"/>
      <w:pPr>
        <w:ind w:start="0" w:hanging="0"/>
      </w:pPr>
    </w:lvl>
    <w:lvl w:ilvl="2">
      <w:start w:val="1"/>
      <w:numFmt w:val="none"/>
      <w:suff w:val="nothing"/>
      <w:lvlText w:val=""/>
      <w:lvlJc w:val="start"/>
      <w:pPr>
        <w:ind w:start="0" w:hanging="0"/>
      </w:pPr>
    </w:lvl>
    <w:lvl w:ilvl="3">
      <w:start w:val="1"/>
      <w:numFmt w:val="none"/>
      <w:suff w:val="nothing"/>
      <w:lvlText w:val=""/>
      <w:lvlJc w:val="start"/>
      <w:pPr>
        <w:ind w:start="0" w:hanging="0"/>
      </w:pPr>
    </w:lvl>
    <w:lvl w:ilvl="4">
      <w:start w:val="1"/>
      <w:pStyle w:val="5"/>
      <w:numFmt w:val="none"/>
      <w:suff w:val="nothing"/>
      <w:lvlText w:val=""/>
      <w:lvlJc w:val="start"/>
      <w:pPr>
        <w:ind w:start="0" w:hanging="0"/>
      </w:pPr>
    </w:lvl>
    <w:lvl w:ilvl="5">
      <w:start w:val="1"/>
      <w:numFmt w:val="none"/>
      <w:suff w:val="nothing"/>
      <w:lvlText w:val=""/>
      <w:lvlJc w:val="start"/>
      <w:pPr>
        <w:ind w:start="0" w:hanging="0"/>
      </w:pPr>
    </w:lvl>
    <w:lvl w:ilvl="6">
      <w:start w:val="1"/>
      <w:numFmt w:val="none"/>
      <w:suff w:val="nothing"/>
      <w:lvlText w:val=""/>
      <w:lvlJc w:val="start"/>
      <w:pPr>
        <w:ind w:start="0" w:hanging="0"/>
      </w:pPr>
    </w:lvl>
    <w:lvl w:ilvl="7">
      <w:start w:val="1"/>
      <w:numFmt w:val="none"/>
      <w:suff w:val="nothing"/>
      <w:lvlText w:val=""/>
      <w:lvlJc w:val="start"/>
      <w:pPr>
        <w:ind w:start="0" w:hanging="0"/>
      </w:pPr>
    </w:lvl>
    <w:lvl w:ilvl="8">
      <w:start w:val="1"/>
      <w:numFmt w:val="none"/>
      <w:suff w:val="nothing"/>
      <w:lvlText w:val=""/>
      <w:lvlJc w:val="start"/>
      <w:pPr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5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5">
    <w:name w:val="Heading 5"/>
    <w:basedOn w:val="Normal"/>
    <w:next w:val="Style20"/>
    <w:qFormat/>
    <w:pPr>
      <w:numPr>
        <w:ilvl w:val="4"/>
        <w:numId w:val="1"/>
      </w:numPr>
      <w:spacing w:before="280" w:after="280"/>
      <w:outlineLvl w:val="4"/>
    </w:pPr>
    <w:rPr>
      <w:rFonts w:ascii="Times" w:hAnsi="Times" w:eastAsia="MS Mincho;MS Gothic" w:cs="Times New Roman"/>
      <w:b/>
      <w:bCs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3">
    <w:name w:val="Основной шрифт абзаца"/>
    <w:qFormat/>
    <w:rPr/>
  </w:style>
  <w:style w:type="character" w:styleId="FooterChar">
    <w:name w:val="Footer Char"/>
    <w:qFormat/>
    <w:rPr>
      <w:rFonts w:ascii="Times New Roman" w:hAnsi="Times New Roman" w:eastAsia="Times New Roman" w:cs="Times New Roman"/>
      <w:sz w:val="20"/>
      <w:szCs w:val="20"/>
    </w:rPr>
  </w:style>
  <w:style w:type="character" w:styleId="FootnoteTextChar">
    <w:name w:val="Footnote Text Char"/>
    <w:qFormat/>
    <w:rPr>
      <w:rFonts w:ascii="Times New Roman" w:hAnsi="Times New Roman" w:eastAsia="Times New Roman" w:cs="Times New Roman"/>
    </w:rPr>
  </w:style>
  <w:style w:type="character" w:styleId="Style14">
    <w:name w:val="Символ сноски"/>
    <w:qFormat/>
    <w:rPr>
      <w:vertAlign w:val="superscript"/>
    </w:rPr>
  </w:style>
  <w:style w:type="character" w:styleId="BodyTextChar">
    <w:name w:val="Body Text Char"/>
    <w:qFormat/>
    <w:rPr>
      <w:rFonts w:ascii="Times New Roman" w:hAnsi="Times New Roman" w:cs="Times New Roman"/>
      <w:b/>
      <w:bCs/>
      <w:sz w:val="18"/>
      <w:szCs w:val="18"/>
      <w:lang w:val="en-US"/>
    </w:rPr>
  </w:style>
  <w:style w:type="character" w:styleId="Appleconvertedspace">
    <w:name w:val="apple-converted-space"/>
    <w:basedOn w:val="Style13"/>
    <w:qFormat/>
    <w:rPr/>
  </w:style>
  <w:style w:type="character" w:styleId="Heading5Char">
    <w:name w:val="Heading 5 Char"/>
    <w:qFormat/>
    <w:rPr>
      <w:rFonts w:ascii="Times" w:hAnsi="Times" w:cs="Times"/>
      <w:b/>
      <w:bCs/>
      <w:sz w:val="20"/>
      <w:szCs w:val="20"/>
    </w:rPr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Посещённая гиперссылка"/>
    <w:rPr>
      <w:color w:val="800080"/>
      <w:u w:val="single"/>
    </w:rPr>
  </w:style>
  <w:style w:type="character" w:styleId="Style17">
    <w:name w:val="Номер страницы"/>
    <w:basedOn w:val="Style13"/>
    <w:rPr/>
  </w:style>
  <w:style w:type="character" w:styleId="Style18">
    <w:name w:val="Выделение"/>
    <w:basedOn w:val="Style13"/>
    <w:qFormat/>
    <w:rPr>
      <w:i/>
      <w:iCs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0">
    <w:name w:val="Body Text"/>
    <w:basedOn w:val="Normal"/>
    <w:pPr>
      <w:widowControl w:val="false"/>
      <w:autoSpaceDE w:val="false"/>
      <w:ind w:start="40" w:hanging="0"/>
    </w:pPr>
    <w:rPr>
      <w:rFonts w:eastAsia="MS Mincho;MS Gothic"/>
      <w:b/>
      <w:bCs/>
      <w:sz w:val="18"/>
      <w:szCs w:val="18"/>
      <w:lang w:val="en-US"/>
    </w:rPr>
  </w:style>
  <w:style w:type="paragraph" w:styleId="Style21">
    <w:name w:val="List"/>
    <w:basedOn w:val="Style20"/>
    <w:pPr/>
    <w:rPr>
      <w:rFonts w:cs="Lohit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Devanagari"/>
    </w:rPr>
  </w:style>
  <w:style w:type="paragraph" w:styleId="Style24">
    <w:name w:val="Footer"/>
    <w:basedOn w:val="Normal"/>
    <w:pPr/>
    <w:rPr/>
  </w:style>
  <w:style w:type="paragraph" w:styleId="Style25">
    <w:name w:val="Footnote Text"/>
    <w:basedOn w:val="Normal"/>
    <w:pPr/>
    <w:rPr>
      <w:sz w:val="24"/>
      <w:szCs w:val="24"/>
    </w:rPr>
  </w:style>
  <w:style w:type="paragraph" w:styleId="ListParagraph">
    <w:name w:val="List Paragraph"/>
    <w:basedOn w:val="Normal"/>
    <w:qFormat/>
    <w:pPr>
      <w:spacing w:before="0" w:after="0"/>
      <w:ind w:start="720" w:hanging="0"/>
      <w:contextualSpacing/>
    </w:pPr>
    <w:rPr/>
  </w:style>
  <w:style w:type="paragraph" w:styleId="Style26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7">
    <w:name w:val="Обычный (веб)"/>
    <w:basedOn w:val="Normal"/>
    <w:qFormat/>
    <w:pPr>
      <w:spacing w:before="280" w:after="280"/>
    </w:pPr>
    <w:rPr>
      <w:sz w:val="24"/>
      <w:szCs w:val="24"/>
    </w:rPr>
  </w:style>
  <w:style w:type="paragraph" w:styleId="Msonormalmailrucssattributepostfix">
    <w:name w:val="msonormal_mailru_css_attribute_postfix"/>
    <w:basedOn w:val="Normal"/>
    <w:qFormat/>
    <w:pPr>
      <w:spacing w:before="280" w:after="280"/>
    </w:pPr>
    <w:rPr>
      <w:sz w:val="24"/>
      <w:szCs w:val="24"/>
    </w:rPr>
  </w:style>
  <w:style w:type="paragraph" w:styleId="Style28">
    <w:name w:val="Содержимое таблицы"/>
    <w:basedOn w:val="Normal"/>
    <w:qFormat/>
    <w:pPr>
      <w:suppressLineNumbers/>
    </w:pPr>
    <w:rPr/>
  </w:style>
  <w:style w:type="paragraph" w:styleId="Style29">
    <w:name w:val="Заголовок таблицы"/>
    <w:basedOn w:val="Style28"/>
    <w:qFormat/>
    <w:pPr>
      <w:suppressLineNumbers/>
      <w:jc w:val="center"/>
    </w:pPr>
    <w:rPr>
      <w:b/>
      <w:bCs/>
    </w:rPr>
  </w:style>
  <w:style w:type="paragraph" w:styleId="Style30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image" Target="media/image1.jpeg"/><Relationship Id="rId4" Type="http://schemas.openxmlformats.org/officeDocument/2006/relationships/header" Target="head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Application>LibreOffice/6.0.7.3$Linux_X86_64 LibreOffice_project/00m0$Build-3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2018-03-18T22:15:00Z</dcterms:created>
  <dc:creator>Vestnik IOS RAS</dc:creator>
  <dc:description/>
  <cp:keywords/>
  <dc:language>ru-RU</dc:language>
  <cp:lastModifiedBy>Malykh</cp:lastModifiedBy>
  <dcterms:modified xsi:type="dcterms:W3CDTF">2020-06-27T13:59:00Z</dcterms:modified>
  <cp:revision>186</cp:revision>
  <dc:subject/>
  <dc:title>РУБРИКА: РЕЦЕНЗИИ; к юбилею ИВ РАН (</dc:title>
</cp:coreProperties>
</file>