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20" w:type="dxa"/>
        <w:jc w:val="start"/>
        <w:tblInd w:w="0" w:type="dxa"/>
        <w:tblBorders>
          <w:bottom w:val="thickThinMediumGap" w:sz="24" w:space="0" w:color="000000"/>
          <w:insideH w:val="thickThinMediumGap" w:sz="2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  <w:insideH w:val="thickThinMedium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ind w:end="-31" w:hanging="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end="-31" w:hanging="0"/>
        <w:jc w:val="center"/>
        <w:rPr>
          <w:rFonts w:ascii="Garamond" w:hAnsi="Garamond" w:cs="Garamond"/>
          <w:b/>
          <w:b/>
          <w:sz w:val="26"/>
          <w:szCs w:val="26"/>
        </w:rPr>
      </w:pPr>
      <w:r>
        <w:rPr>
          <w:rFonts w:cs="Garamond" w:ascii="Garamond" w:hAnsi="Garamond"/>
          <w:b/>
          <w:sz w:val="26"/>
          <w:szCs w:val="26"/>
        </w:rPr>
        <w:t>НЕУТОМИМЫЙ НАУМКИН</w:t>
      </w:r>
    </w:p>
    <w:p>
      <w:pPr>
        <w:pStyle w:val="Normal"/>
        <w:ind w:end="-31" w:firstLine="720"/>
        <w:jc w:val="both"/>
        <w:rPr>
          <w:rFonts w:ascii="Garamond" w:hAnsi="Garamond" w:cs="Garamond"/>
          <w:b/>
          <w:b/>
          <w:sz w:val="24"/>
          <w:szCs w:val="24"/>
        </w:rPr>
      </w:pPr>
      <w:r>
        <w:rPr>
          <w:rFonts w:cs="Garamond" w:ascii="Garamond" w:hAnsi="Garamond"/>
          <w:b/>
          <w:sz w:val="24"/>
          <w:szCs w:val="24"/>
        </w:rPr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Впервые я услышал имя Виталий Наумкин в конце 1970-х гг. Мой коллега Василий Озолинг приехал в отпуск из Адена, где год проработал переводчиком в Партийной школе. Он рассказывал и о городе, и о трудном климате Южного Йемена, и о работе.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…</w:t>
      </w:r>
      <w:r>
        <w:rPr>
          <w:rFonts w:cs="Garamond" w:ascii="Garamond" w:hAnsi="Garamond"/>
          <w:sz w:val="24"/>
          <w:szCs w:val="24"/>
        </w:rPr>
        <w:t>А после работы мы все собираемся, отдыхаем хорошо, от души… и расходимся. Но есть у нас один… Так он работает — как все, отдыхает — как все. А после, вечерами садится и еще переводит несколько страниц средневекового текста.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Кто же это?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Виталий Наумкин.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Скоро в Москве мы увидели плоды такой работы. В издательстве «Наука» в 1980 г. вышла книга Абу Хамида ал-Газали «Воскрешение наук о вере. Избранные главы. Перевод с арабского, исследование и комментарий В. В. Наумкина». А чуть позднее вышла монография Наумкина «“Красные волки” Йемена. Национальный фронт в революции», переработанный текст его докторской диссертации.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Что говорить, такому упорству и трудолюбию можно было только позавидовать.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Спустя несколько лет В. В. Наумкин пришел в Институт востоковедения, последовательно переходя с должности заведующего сектором на должность заведующего Отделом арабских стран, заместителя директора Института, а потом был избран директором. Да, во всех этих перемещениях он оказывался на своем месте, то есть работал сам и предлагал всем остальным выполнять положенные обязанности.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Но востоковедение — наука сложная. Востоковед — это человек не только знающий и понимающий Восток, но также Восток любящий.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В этом я смог убедиться в одной из поездок с Наумкиным в Саудовскую Аравию. Ехали в компании известных специалистов на конференцию о российско-саудовских отношениях.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Едва вышли из здания аэропорта, как на нас пахнул жаркий аромат Аравии. Редкие пальмы по дороге вскоре сменили высоченные здания из стекла и желтого камня. На проспекте короля Фахда машина свернула, и мы въехали во двор огромного центра Фейсалийя, включающего деловые конторы, мечеть, торговый центр и гостиницу, в которой мы разместились и где в течение двух дней проходили заседания конференции. 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Приятно было убедиться воочию в высоком авторитете нашего Наумкина, который естественно стал центром заседаний. Его слов ожидали и внимательно слушали, с ним вели отдельно переговоры саудовские дипломаты и чиновники. В свободное время мы съездили на высоченную башню, посмотрели на эр-Рияд сквозь дымку песчаной завесы, конечно, закупили фиников для подарков дома…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Давайте съедим на верблюжий рынок! — предложил Наумкин.</w:t>
      </w:r>
    </w:p>
    <w:p>
      <w:pPr>
        <w:sectPr>
          <w:footerReference w:type="default" r:id="rId2"/>
          <w:type w:val="nextPage"/>
          <w:pgSz w:w="11057" w:h="14740"/>
          <w:pgMar w:left="1134" w:right="1134" w:header="0" w:top="1134" w:footer="709" w:bottom="1134" w:gutter="0"/>
          <w:pgNumType w:start="15" w:fmt="decimal"/>
          <w:formProt w:val="false"/>
          <w:textDirection w:val="lrTb"/>
          <w:docGrid w:type="default" w:linePitch="360" w:charSpace="0"/>
        </w:sect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Большого энтузиазма предложение не вызвало. Жара была не слишком велика, по постоянно висящий в воздухе мелкий песок раздражал, да и так уже отзаседали полдня… Востоковеды устало промолчали.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Давайте съездим! — с напором повторил Наумкин. — Машина есть. Рынок на окраине города, я знаю, не так далеко.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Мы переглянулись, ожидая, кто первым скажет «да» или «нет».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Да вы что, не хотите? — с недоумением спросил Наумкин. — Как можно быть в Аравии и не посмотреть на верблюдов?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В общем, мы покорно поехали.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Дорога оказалась относительно недолгой, минут сорок. Выйдя из машины, мы оказались вне города, даже зданий не было видно. Налево и направо виднелись деревянные загоны, в которых бродили коричные и черные одногорбые верблюды. На дороге стояло несколько джипов, а их хозяева прохаживались вдоль загородок, видимо, выбирая достойное животное.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Кроме верблюдов смотреть было не на что. Грязная земля, песок, кучки мусора. А верблюды оказались разными: были драчливые, задиравшие товарищей, были усталые, прилегшие на песок и вытянувшие длинную шею, иные меланхолично жевали что-то. Самыми симпатичными оказались белые верблюжата, очаровательно грациозные, трогательно рассматривавшие все вокруг большущими темными глазами. Трудно было оторвать от них взор.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Так, — громко произнес Наумкин. — Будем пить верблюжье молоко?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Востоковеды промолчали.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Не хотите? — удивленно спросил Наумкин. — А я буду.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Он зашел в невзрачное строение, и вскоре оттуда вынесли таз. Большой таз, почти доверху наполненный пенящимся белым молоком.</w:t>
      </w:r>
    </w:p>
    <w:p>
      <w:pPr>
        <w:pStyle w:val="Normal"/>
        <w:ind w:end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—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>Ну, кто? — спросил Наумкин. Затем недоуменно пожал плечами, взял в руки таз и с видимым удовольствием сделал несколько глотков. Эстафету таза принял Леонид Сюкияйнен, и честь спутников Наумкина была соблюдена.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Конечно, Наумкин был прав: как же можно побывать в Аравии и не посмотреть на верблюдов.</w:t>
      </w:r>
    </w:p>
    <w:p>
      <w:pPr>
        <w:pStyle w:val="Normal"/>
        <w:ind w:end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Normal"/>
        <w:ind w:end="-31" w:firstLine="720"/>
        <w:jc w:val="end"/>
        <w:rPr>
          <w:rFonts w:ascii="Garamond" w:hAnsi="Garamond" w:cs="Garamond"/>
          <w:i/>
          <w:i/>
          <w:sz w:val="24"/>
          <w:szCs w:val="24"/>
        </w:rPr>
      </w:pPr>
      <w:r>
        <w:rPr>
          <w:rFonts w:cs="Garamond" w:ascii="Garamond" w:hAnsi="Garamond"/>
          <w:i/>
          <w:sz w:val="24"/>
          <w:szCs w:val="24"/>
        </w:rPr>
        <w:t>доктор исторических наук,</w:t>
      </w:r>
    </w:p>
    <w:p>
      <w:pPr>
        <w:pStyle w:val="Normal"/>
        <w:ind w:end="-31" w:firstLine="720"/>
        <w:jc w:val="end"/>
        <w:rPr>
          <w:rFonts w:ascii="Garamond" w:hAnsi="Garamond" w:cs="Garamond"/>
          <w:i/>
          <w:i/>
          <w:sz w:val="24"/>
          <w:szCs w:val="24"/>
        </w:rPr>
      </w:pPr>
      <w:r>
        <w:rPr>
          <w:rFonts w:cs="Garamond" w:ascii="Garamond" w:hAnsi="Garamond"/>
          <w:i/>
          <w:sz w:val="24"/>
          <w:szCs w:val="24"/>
        </w:rPr>
        <w:t>ведущий научный сотрудник</w:t>
      </w:r>
    </w:p>
    <w:p>
      <w:pPr>
        <w:pStyle w:val="Normal"/>
        <w:ind w:end="-31" w:firstLine="720"/>
        <w:jc w:val="end"/>
        <w:rPr>
          <w:rFonts w:ascii="Garamond" w:hAnsi="Garamond" w:cs="Garamond"/>
          <w:i/>
          <w:i/>
          <w:sz w:val="24"/>
          <w:szCs w:val="24"/>
        </w:rPr>
      </w:pPr>
      <w:r>
        <w:rPr>
          <w:rFonts w:cs="Garamond" w:ascii="Garamond" w:hAnsi="Garamond"/>
          <w:i/>
          <w:sz w:val="24"/>
          <w:szCs w:val="24"/>
        </w:rPr>
        <w:t>Института востоковедения РАН</w:t>
      </w:r>
    </w:p>
    <w:p>
      <w:pPr>
        <w:pStyle w:val="Normal"/>
        <w:ind w:end="-31" w:firstLine="720"/>
        <w:jc w:val="end"/>
        <w:rPr>
          <w:rFonts w:ascii="Garamond" w:hAnsi="Garamond" w:cs="Garamond"/>
          <w:i/>
          <w:i/>
          <w:sz w:val="24"/>
          <w:szCs w:val="24"/>
        </w:rPr>
      </w:pPr>
      <w:r>
        <w:rPr>
          <w:rFonts w:cs="Garamond" w:ascii="Garamond" w:hAnsi="Garamond"/>
          <w:i/>
          <w:sz w:val="24"/>
          <w:szCs w:val="24"/>
        </w:rPr>
        <w:t>А. И. ЯКОВЛЕВ</w:t>
      </w:r>
    </w:p>
    <w:sectPr>
      <w:headerReference w:type="default" r:id="rId3"/>
      <w:footerReference w:type="default" r:id="rId4"/>
      <w:type w:val="nextPage"/>
      <w:pgSz w:w="11057" w:h="14740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Garamond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7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16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212.7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>
                        <w:rStyle w:val="Style17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16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17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212.7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17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20" w:type="dxa"/>
      <w:jc w:val="start"/>
      <w:tblInd w:w="0" w:type="dxa"/>
      <w:tblBorders>
        <w:bottom w:val="single" w:sz="12" w:space="0" w:color="000000"/>
        <w:insideH w:val="single" w:sz="12" w:space="0" w:color="000000"/>
      </w:tblBorders>
      <w:tblCellMar>
        <w:top w:w="0" w:type="dxa"/>
        <w:start w:w="108" w:type="dxa"/>
        <w:bottom w:w="0" w:type="dxa"/>
        <w:end w:w="108" w:type="dxa"/>
      </w:tblCellMar>
    </w:tblPr>
    <w:tblGrid>
      <w:gridCol w:w="8820"/>
    </w:tblGrid>
    <w:tr>
      <w:trPr/>
      <w:tc>
        <w:tcPr>
          <w:tcW w:w="8820" w:type="dxa"/>
          <w:tcBorders>
            <w:bottom w:val="single" w:sz="12" w:space="0" w:color="000000"/>
            <w:insideH w:val="single" w:sz="12" w:space="0" w:color="000000"/>
          </w:tcBorders>
          <w:shd w:fill="auto" w:val="clear"/>
        </w:tcPr>
        <w:p>
          <w:pPr>
            <w:pStyle w:val="Style26"/>
            <w:jc w:val="center"/>
            <w:rPr>
              <w:rFonts w:ascii="Garamond" w:hAnsi="Garamond" w:cs="Garamond"/>
              <w:color w:val="000000"/>
            </w:rPr>
          </w:pPr>
          <w:r>
            <w:rPr>
              <w:rFonts w:cs="Garamond" w:ascii="Garamond" w:hAnsi="Garamond"/>
            </w:rPr>
            <w:t>Яковлев А. И. Неутомимый Наумкин</w:t>
          </w:r>
        </w:p>
        <w:p>
          <w:pPr>
            <w:pStyle w:val="Style26"/>
            <w:jc w:val="center"/>
            <w:rPr>
              <w:rFonts w:ascii="Garamond" w:hAnsi="Garamond" w:cs="Garamond"/>
              <w:color w:val="000000"/>
              <w:sz w:val="8"/>
              <w:szCs w:val="8"/>
            </w:rPr>
          </w:pPr>
          <w:r>
            <w:rPr>
              <w:rFonts w:cs="Garamond" w:ascii="Garamond" w:hAnsi="Garamond"/>
              <w:color w:val="000000"/>
              <w:sz w:val="8"/>
              <w:szCs w:val="8"/>
            </w:rPr>
          </w:r>
        </w:p>
      </w:tc>
    </w:tr>
  </w:tbl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5">
    <w:name w:val="Heading 5"/>
    <w:basedOn w:val="Normal"/>
    <w:next w:val="Style20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14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13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Номер страницы"/>
    <w:basedOn w:val="Style13"/>
    <w:rPr/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widowControl w:val="false"/>
      <w:autoSpaceDE w:val="false"/>
      <w:ind w:star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er"/>
    <w:basedOn w:val="Normal"/>
    <w:pPr/>
    <w:rPr/>
  </w:style>
  <w:style w:type="paragraph" w:styleId="Style25">
    <w:name w:val="Footnote Text"/>
    <w:basedOn w:val="Normal"/>
    <w:pPr/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2018-03-18T22:15:00Z</dcterms:created>
  <dc:creator>Vestnik IOS RAS</dc:creator>
  <dc:description/>
  <cp:keywords/>
  <dc:language>ru-RU</dc:language>
  <cp:lastModifiedBy>Malykh</cp:lastModifiedBy>
  <dcterms:modified xsi:type="dcterms:W3CDTF">2020-05-30T19:26:00Z</dcterms:modified>
  <cp:revision>173</cp:revision>
  <dc:subject/>
  <dc:title>РУБРИКА: РЕЦЕНЗИИ; к юбилею ИВ РАН (</dc:title>
</cp:coreProperties>
</file>