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both"/>
        <w:rPr>
          <w:rFonts w:ascii="Garamond" w:hAnsi="Garamond" w:eastAsia="MingLiU;細明體" w:cs="Garamond"/>
          <w:b/>
          <w:b/>
          <w:sz w:val="24"/>
          <w:szCs w:val="24"/>
        </w:rPr>
      </w:pPr>
      <w:r>
        <w:rPr>
          <w:rFonts w:eastAsia="MingLiU;細明體" w:cs="Garamond" w:ascii="Garamond" w:hAnsi="Garamond"/>
          <w:sz w:val="24"/>
          <w:szCs w:val="24"/>
          <w:lang w:val="en-US"/>
        </w:rPr>
        <w:t>DOI</w:t>
      </w:r>
      <w:r>
        <w:rPr>
          <w:rFonts w:eastAsia="MingLiU;細明體" w:cs="Garamond" w:ascii="Garamond" w:hAnsi="Garamond"/>
          <w:sz w:val="24"/>
          <w:szCs w:val="24"/>
        </w:rPr>
        <w:t>: 10.31696/2618-7302-2020-2-277-283</w:t>
      </w:r>
    </w:p>
    <w:p>
      <w:pPr>
        <w:pStyle w:val="12"/>
        <w:ind w:end="-31" w:hanging="0"/>
        <w:rPr>
          <w:rFonts w:ascii="Garamond" w:hAnsi="Garamond" w:eastAsia="MingLiU;細明體" w:cs="Garamond"/>
          <w:b/>
          <w:b/>
          <w:caps/>
          <w:sz w:val="24"/>
          <w:szCs w:val="24"/>
        </w:rPr>
      </w:pPr>
      <w:r>
        <w:rPr>
          <w:rFonts w:eastAsia="MingLiU;細明體" w:cs="Garamond" w:ascii="Garamond" w:hAnsi="Garamond"/>
          <w:b/>
          <w:caps/>
          <w:sz w:val="24"/>
          <w:szCs w:val="24"/>
        </w:rPr>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ЮЖНО-МАНЬЧЖУРСКАЯ ЖЕЛЕЗНОДОРОЖНАЯ КОМПАНИЯ</w:t>
      </w:r>
    </w:p>
    <w:p>
      <w:pPr>
        <w:pStyle w:val="Normal"/>
        <w:spacing w:lineRule="auto" w:line="360"/>
        <w:ind w:end="-31" w:hanging="0"/>
        <w:jc w:val="center"/>
        <w:rPr>
          <w:rFonts w:ascii="Garamond" w:hAnsi="Garamond" w:eastAsia="MingLiU;細明體" w:cs="Garamond"/>
          <w:b/>
          <w:b/>
          <w:sz w:val="26"/>
          <w:szCs w:val="26"/>
        </w:rPr>
      </w:pPr>
      <w:r>
        <w:rPr>
          <w:rFonts w:eastAsia="MingLiU;細明體" w:cs="Garamond" w:ascii="Garamond" w:hAnsi="Garamond"/>
          <w:b/>
          <w:sz w:val="26"/>
          <w:szCs w:val="26"/>
        </w:rPr>
        <w:t>В ПЕРВОЙ ПОЛОВИНЕ</w:t>
      </w:r>
      <w:r>
        <w:rPr>
          <w:rFonts w:eastAsia="MingLiU;細明體" w:cs="Garamond" w:ascii="Garamond" w:hAnsi="Garamond"/>
          <w:bCs/>
          <w:sz w:val="26"/>
          <w:szCs w:val="26"/>
        </w:rPr>
        <w:t xml:space="preserve"> </w:t>
      </w:r>
      <w:r>
        <w:rPr>
          <w:rFonts w:eastAsia="MingLiU;細明體" w:cs="Garamond" w:ascii="Garamond" w:hAnsi="Garamond"/>
          <w:b/>
          <w:sz w:val="26"/>
          <w:szCs w:val="26"/>
        </w:rPr>
        <w:t>ХХ В.</w:t>
      </w:r>
    </w:p>
    <w:p>
      <w:pPr>
        <w:pStyle w:val="Normal"/>
        <w:spacing w:lineRule="auto" w:line="360"/>
        <w:ind w:end="-31" w:hanging="0"/>
        <w:rPr>
          <w:rFonts w:ascii="Garamond" w:hAnsi="Garamond" w:eastAsia="MingLiU;細明體" w:cs="Garamond"/>
          <w:b/>
          <w:b/>
          <w:sz w:val="24"/>
          <w:szCs w:val="24"/>
        </w:rPr>
      </w:pPr>
      <w:r>
        <w:rPr>
          <w:rFonts w:eastAsia="MingLiU;細明體" w:cs="Garamond" w:ascii="Garamond" w:hAnsi="Garamond"/>
          <w:sz w:val="24"/>
          <w:szCs w:val="24"/>
        </w:rPr>
        <w:t>© 2020</w:t>
        <w:tab/>
        <w:tab/>
        <w:tab/>
        <w:tab/>
        <w:t xml:space="preserve">       </w:t>
      </w:r>
      <w:r>
        <w:rPr>
          <w:rFonts w:eastAsia="MingLiU;細明體" w:cs="Garamond" w:ascii="Garamond" w:hAnsi="Garamond"/>
          <w:b/>
          <w:sz w:val="26"/>
          <w:szCs w:val="26"/>
        </w:rPr>
        <w:t>В. В. Досовицкая</w:t>
      </w:r>
      <w:r>
        <w:rPr>
          <w:rStyle w:val="Style12"/>
          <w:rStyle w:val="Style20"/>
          <w:rFonts w:eastAsia="MingLiU;細明體" w:cs="Garamond" w:ascii="Garamond" w:hAnsi="Garamond"/>
          <w:sz w:val="26"/>
          <w:szCs w:val="26"/>
        </w:rPr>
        <w:footnoteReference w:id="2"/>
      </w:r>
    </w:p>
    <w:p>
      <w:pPr>
        <w:pStyle w:val="Normal"/>
        <w:ind w:end="-31" w:firstLine="720"/>
        <w:jc w:val="both"/>
        <w:rPr>
          <w:rFonts w:ascii="Garamond" w:hAnsi="Garamond" w:eastAsia="MingLiU;細明體" w:cs="Garamond"/>
          <w:sz w:val="22"/>
          <w:szCs w:val="22"/>
        </w:rPr>
      </w:pPr>
      <w:r>
        <w:rPr>
          <w:rFonts w:eastAsia="MingLiU;細明體" w:cs="Garamond" w:ascii="Garamond" w:hAnsi="Garamond"/>
          <w:sz w:val="22"/>
          <w:szCs w:val="22"/>
        </w:rPr>
        <w:t>По результатам Портсмутского мирного договора после Русско-японской войны 1904–1905 гг. Южно-Маньчжурская железная дорога (ЮМЖД) отошла к Японии. Годом позже, в 1906 г., была основана Южно-Маньчжурская железнодорожная компания (ЮМЖК), ставшая основным средством проникновения в Южную Маньчжурию японского капитала, главным способом политического и экономического влияния Японии на этот регион еще задолго до Маньчжурского инцидента 1931 г. и основания марионеточного государства Маньчжоу-го в 1932 г. В данной статье мы рассмотрим структуру компании, основные направления ее деятельности, обстоятельства, в связи с которыми были заложены основы для последующей политической, экономической и военной экспансии Японии и основания Маньчжоу-го. ЮМЖК являлась полугосударственной компанией, и в первые годы финансирование осуществлялось за счет правительства Японии, которое также назначало ее высшее руководство. Благодаря активному развитию ЮМЖК в период после Русско-японской войны компания стала считаться одним из крупнейших предприятий — она владела не только железными дорогами (магистральные линии от Чанчуня до Порт-Артура, а также из Пусана в Фэнтянь), но и промышленными предприятиями Южной Маньчжурии (горнодобывающие, металлургические и химические, например, Фушуньские угольные копи и Аншанские железные рудники), под ее началом развивались строительные инициативы (учреждения образования и здравоохранения, гарнизоны, гостиницы, рестораны, портовая инфраструктура), а исследовательское бюро компании являлось образцом качественного анализа информации. Японское правительство крайне гордилось успехами ЮМЖК, а потеря Южной Маньчжурии Россией стала серьезным испытанием для последней, ведь эта территория в итоге стала политическим, экономическим и военным плацдармом Японии на материке в период до и во время Второй мировой войны.</w:t>
      </w:r>
    </w:p>
    <w:p>
      <w:pPr>
        <w:pStyle w:val="Normal"/>
        <w:ind w:end="-31" w:firstLine="720"/>
        <w:jc w:val="both"/>
        <w:rPr/>
      </w:pPr>
      <w:r>
        <w:rPr>
          <w:rFonts w:eastAsia="MingLiU;細明體" w:cs="Garamond" w:ascii="Garamond" w:hAnsi="Garamond"/>
          <w:i/>
          <w:sz w:val="22"/>
          <w:szCs w:val="22"/>
        </w:rPr>
        <w:t>Ключевые слова:</w:t>
      </w:r>
      <w:r>
        <w:rPr>
          <w:rFonts w:eastAsia="MingLiU;細明體" w:cs="Garamond" w:ascii="Garamond" w:hAnsi="Garamond"/>
          <w:sz w:val="22"/>
          <w:szCs w:val="22"/>
        </w:rPr>
        <w:t xml:space="preserve"> Китайско-Восточная железная дорога, Южно-Маньчжурская железная дорога, Русско-японская война, внешняя политика Японии, Маньчжуро-Монголия, Маньчжурия, империализм.</w:t>
      </w:r>
    </w:p>
    <w:p>
      <w:pPr>
        <w:sectPr>
          <w:footerReference w:type="default" r:id="rId2"/>
          <w:footnotePr>
            <w:numFmt w:val="decimal"/>
            <w:numRestart w:val="eachSect"/>
          </w:footnotePr>
          <w:type w:val="nextPage"/>
          <w:pgSz w:w="11057" w:h="14740"/>
          <w:pgMar w:left="1134" w:right="1134" w:header="0" w:top="1134" w:footer="709" w:bottom="1134" w:gutter="0"/>
          <w:pgNumType w:start="277" w:fmt="decimal"/>
          <w:formProt w:val="false"/>
          <w:textDirection w:val="lrTb"/>
          <w:docGrid w:type="default" w:linePitch="360" w:charSpace="0"/>
        </w:sectPr>
        <w:pStyle w:val="Normal"/>
        <w:ind w:end="-31" w:firstLine="720"/>
        <w:jc w:val="both"/>
        <w:rPr>
          <w:rFonts w:ascii="Garamond" w:hAnsi="Garamond" w:eastAsia="MingLiU;細明體" w:cs="Garamond"/>
          <w:sz w:val="22"/>
          <w:szCs w:val="22"/>
        </w:rPr>
      </w:pPr>
      <w:r>
        <w:rPr>
          <w:rFonts w:eastAsia="MingLiU;細明體" w:cs="Garamond" w:ascii="Garamond" w:hAnsi="Garamond"/>
          <w:i/>
          <w:iCs/>
          <w:sz w:val="22"/>
          <w:szCs w:val="22"/>
        </w:rPr>
        <w:t>Для цитирования:</w:t>
      </w:r>
      <w:r>
        <w:rPr>
          <w:rFonts w:eastAsia="MingLiU;細明體" w:cs="Garamond" w:ascii="Garamond" w:hAnsi="Garamond"/>
          <w:sz w:val="22"/>
          <w:szCs w:val="22"/>
        </w:rPr>
        <w:t xml:space="preserve"> Досовицкая В. В. </w:t>
      </w:r>
      <w:r>
        <w:rPr>
          <w:rFonts w:eastAsia="MingLiU;細明體" w:cs="Garamond" w:ascii="Garamond" w:hAnsi="Garamond"/>
          <w:bCs/>
          <w:sz w:val="22"/>
          <w:szCs w:val="22"/>
        </w:rPr>
        <w:t>Южно-Маньчжурская железнодорожная компания в первой половине ХХ</w:t>
      </w:r>
      <w:r>
        <w:rPr>
          <w:rFonts w:eastAsia="MingLiU;細明體" w:cs="Garamond" w:ascii="Garamond" w:hAnsi="Garamond"/>
          <w:bCs/>
          <w:sz w:val="22"/>
          <w:szCs w:val="22"/>
          <w:lang w:val="en-US"/>
        </w:rPr>
        <w:t> </w:t>
      </w:r>
      <w:r>
        <w:rPr>
          <w:rFonts w:eastAsia="MingLiU;細明體" w:cs="Garamond" w:ascii="Garamond" w:hAnsi="Garamond"/>
          <w:bCs/>
          <w:sz w:val="22"/>
          <w:szCs w:val="22"/>
        </w:rPr>
        <w:t>в.</w:t>
      </w:r>
      <w:r>
        <w:rPr>
          <w:rFonts w:eastAsia="MingLiU;細明體" w:cs="Garamond" w:ascii="Garamond" w:hAnsi="Garamond"/>
          <w:sz w:val="22"/>
          <w:szCs w:val="22"/>
        </w:rPr>
        <w:t xml:space="preserve"> </w:t>
      </w:r>
      <w:r>
        <w:rPr>
          <w:rFonts w:eastAsia="MingLiU;細明體" w:cs="Garamond" w:ascii="Garamond" w:hAnsi="Garamond"/>
          <w:i/>
          <w:sz w:val="22"/>
          <w:szCs w:val="22"/>
        </w:rPr>
        <w:t>Вестник Института востоковедения РАН</w:t>
      </w:r>
      <w:r>
        <w:rPr>
          <w:rFonts w:eastAsia="MingLiU;細明體" w:cs="Garamond" w:ascii="Garamond" w:hAnsi="Garamond"/>
          <w:sz w:val="22"/>
          <w:szCs w:val="22"/>
        </w:rPr>
        <w:t xml:space="preserve">. 2020. </w:t>
      </w:r>
      <w:r>
        <w:rPr>
          <w:rFonts w:eastAsia="MingLiU;細明體" w:cs="Garamond" w:ascii="Garamond" w:hAnsi="Garamond"/>
          <w:sz w:val="22"/>
          <w:szCs w:val="22"/>
          <w:lang w:val="en-US"/>
        </w:rPr>
        <w:t xml:space="preserve">№ 2. </w:t>
      </w:r>
      <w:r>
        <w:rPr>
          <w:rFonts w:eastAsia="MingLiU;細明體" w:cs="Garamond" w:ascii="Garamond" w:hAnsi="Garamond"/>
          <w:sz w:val="22"/>
          <w:szCs w:val="22"/>
        </w:rPr>
        <w:t>С</w:t>
      </w:r>
      <w:r>
        <w:rPr>
          <w:rFonts w:eastAsia="MingLiU;細明體" w:cs="Garamond" w:ascii="Garamond" w:hAnsi="Garamond"/>
          <w:sz w:val="22"/>
          <w:szCs w:val="22"/>
          <w:lang w:val="en-US"/>
        </w:rPr>
        <w:t>. 277–</w:t>
      </w:r>
      <w:r>
        <w:rPr>
          <w:rFonts w:eastAsia="MingLiU;細明體" w:cs="Garamond" w:ascii="Garamond" w:hAnsi="Garamond"/>
          <w:sz w:val="22"/>
          <w:szCs w:val="22"/>
        </w:rPr>
        <w:t>283</w:t>
      </w:r>
      <w:r>
        <w:rPr>
          <w:rFonts w:eastAsia="MingLiU;細明體" w:cs="Garamond" w:ascii="Garamond" w:hAnsi="Garamond"/>
          <w:sz w:val="22"/>
          <w:szCs w:val="22"/>
          <w:lang w:val="en-US"/>
        </w:rPr>
        <w:t>. DOI: 10.31696/2618-7302-2020-2-277-</w:t>
      </w:r>
      <w:r>
        <w:rPr>
          <w:rFonts w:eastAsia="MingLiU;細明體" w:cs="Garamond" w:ascii="Garamond" w:hAnsi="Garamond"/>
          <w:sz w:val="22"/>
          <w:szCs w:val="22"/>
        </w:rPr>
        <w:t>283</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SOUTH MANCHURIAN RAILWAY COMPANY</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IN THE FIRST HALF OF THE 20</w:t>
      </w:r>
      <w:r>
        <w:rPr>
          <w:rFonts w:eastAsia="MingLiU;細明體" w:cs="Garamond" w:ascii="Garamond" w:hAnsi="Garamond"/>
          <w:b/>
          <w:sz w:val="26"/>
          <w:szCs w:val="26"/>
          <w:vertAlign w:val="superscript"/>
          <w:lang w:val="en-US"/>
        </w:rPr>
        <w:t>TH</w:t>
      </w:r>
      <w:r>
        <w:rPr>
          <w:rFonts w:eastAsia="MingLiU;細明體" w:cs="Garamond" w:ascii="Garamond" w:hAnsi="Garamond"/>
          <w:b/>
          <w:sz w:val="26"/>
          <w:szCs w:val="26"/>
          <w:lang w:val="en-US"/>
        </w:rPr>
        <w:t xml:space="preserve"> CENTURY</w:t>
      </w:r>
    </w:p>
    <w:p>
      <w:pPr>
        <w:pStyle w:val="Normal"/>
        <w:spacing w:lineRule="auto" w:line="360"/>
        <w:ind w:end="-31" w:hanging="0"/>
        <w:jc w:val="center"/>
        <w:rPr>
          <w:rFonts w:ascii="Garamond" w:hAnsi="Garamond" w:eastAsia="MingLiU;細明體" w:cs="Garamond"/>
          <w:b/>
          <w:b/>
          <w:sz w:val="26"/>
          <w:szCs w:val="26"/>
          <w:lang w:val="en-US"/>
        </w:rPr>
      </w:pPr>
      <w:r>
        <w:rPr>
          <w:rFonts w:eastAsia="MingLiU;細明體" w:cs="Garamond" w:ascii="Garamond" w:hAnsi="Garamond"/>
          <w:b/>
          <w:sz w:val="26"/>
          <w:szCs w:val="26"/>
          <w:lang w:val="en-US"/>
        </w:rPr>
        <w:t>Vera V. Dosovitskaia</w:t>
      </w:r>
    </w:p>
    <w:p>
      <w:pPr>
        <w:pStyle w:val="Normal"/>
        <w:ind w:end="-31" w:firstLine="720"/>
        <w:jc w:val="both"/>
        <w:rPr/>
      </w:pPr>
      <w:r>
        <w:rPr>
          <w:rFonts w:eastAsia="MingLiU;細明體" w:cs="Garamond" w:ascii="Garamond" w:hAnsi="Garamond"/>
          <w:sz w:val="22"/>
          <w:szCs w:val="22"/>
          <w:lang w:val="en-US"/>
        </w:rPr>
        <w:t>Pursuant to the Portsmouth Peace Treaty that concluded the Russo-Japanese War of 1904–05, ownership of the South Manchurian Railway (SMR) went to Japan. A year later, in 1906, the South Manchurian Railway Company (SMRC) was established. SMRC became the main avenue through which Japanese capital penetrated South Manchuria, the main tool for Japan to influence the region politically and economically — long before the 1931 Manchurian incident and the foundation of the puppet state of Manchukuo in 1932. In this article we will look at the structure of the company, its activities, and factors enabling Japan’s political, economic and military expansion and ultimately the founding of Manchukuo. SMRC was a semi-state-owned company, and in its early years the funding was provided by the Japanese government, which appointed senior management of SMRC. Its active development in the wake of the Russo-Japanese War made the company very large — it owned railways (trunk lines from Changchun to Port Arthur, and from Busan to Fengtien) and industrial enterprises in Southern Manchuria (mining, metallurgical and chemical facilities, for example, Fushun coal mines and Anshan iron mines), it pursued building initiatives (educational and health institutions, garrisons, hotels, restaurants, port infrastructure), and its research bureau was an exemplary analytical office. The Japanese government was proud of the successes of the SMRC, whereas for Russia, the loss of South Manchuria was a major hit because ultimately this territory became the political, economic and military bridgehead on the mainland before and during World War II.</w:t>
      </w:r>
    </w:p>
    <w:p>
      <w:pPr>
        <w:pStyle w:val="Normal"/>
        <w:ind w:end="-31" w:firstLine="720"/>
        <w:jc w:val="both"/>
        <w:rPr/>
      </w:pPr>
      <w:r>
        <w:rPr>
          <w:rFonts w:eastAsia="MingLiU;細明體" w:cs="Garamond" w:ascii="Garamond" w:hAnsi="Garamond"/>
          <w:i/>
          <w:sz w:val="22"/>
          <w:szCs w:val="22"/>
          <w:lang w:val="en-US"/>
        </w:rPr>
        <w:t>Keywords</w:t>
      </w:r>
      <w:r>
        <w:rPr>
          <w:rFonts w:eastAsia="MingLiU;細明體" w:cs="Garamond" w:ascii="Garamond" w:hAnsi="Garamond"/>
          <w:sz w:val="22"/>
          <w:szCs w:val="22"/>
          <w:lang w:val="en-US"/>
        </w:rPr>
        <w:t>: the Chinese Eastern Railway, the South Manchuria Railway, the Russo-Japanese war, foreign policy of Japan, Manchuria-Mongolia, Manchuria, imperialism.</w:t>
      </w:r>
    </w:p>
    <w:p>
      <w:pPr>
        <w:pStyle w:val="Normal"/>
        <w:ind w:end="-31" w:firstLine="720"/>
        <w:jc w:val="both"/>
        <w:rPr>
          <w:rFonts w:ascii="Garamond" w:hAnsi="Garamond" w:cs="Garamond"/>
          <w:sz w:val="22"/>
          <w:szCs w:val="22"/>
        </w:rPr>
      </w:pPr>
      <w:r>
        <w:rPr>
          <w:rFonts w:eastAsia="MingLiU;細明體" w:cs="Garamond" w:ascii="Garamond" w:hAnsi="Garamond"/>
          <w:i/>
          <w:iCs/>
          <w:sz w:val="22"/>
          <w:szCs w:val="22"/>
          <w:lang w:val="en-US"/>
        </w:rPr>
        <w:t>For citation:</w:t>
      </w:r>
      <w:r>
        <w:rPr>
          <w:rFonts w:eastAsia="MingLiU;細明體" w:cs="Garamond" w:ascii="Garamond" w:hAnsi="Garamond"/>
          <w:sz w:val="22"/>
          <w:szCs w:val="22"/>
          <w:lang w:val="en-US"/>
        </w:rPr>
        <w:t xml:space="preserve"> Dosovitskaia V. V. South Manchurian Railway Company in the First Half of the 20</w:t>
      </w:r>
      <w:r>
        <w:rPr>
          <w:rFonts w:eastAsia="MingLiU;細明體" w:cs="Garamond" w:ascii="Garamond" w:hAnsi="Garamond"/>
          <w:sz w:val="22"/>
          <w:szCs w:val="22"/>
          <w:vertAlign w:val="superscript"/>
          <w:lang w:val="en-US"/>
        </w:rPr>
        <w:t>th</w:t>
      </w:r>
      <w:r>
        <w:rPr>
          <w:rFonts w:eastAsia="MingLiU;細明體" w:cs="Garamond" w:ascii="Garamond" w:hAnsi="Garamond"/>
          <w:sz w:val="22"/>
          <w:szCs w:val="22"/>
          <w:lang w:val="en-US"/>
        </w:rPr>
        <w:t xml:space="preserve"> Century. </w:t>
      </w:r>
      <w:r>
        <w:rPr>
          <w:rFonts w:eastAsia="MingLiU;細明體" w:cs="Garamond" w:ascii="Garamond" w:hAnsi="Garamond"/>
          <w:i/>
          <w:sz w:val="22"/>
          <w:szCs w:val="22"/>
          <w:lang w:val="en-US"/>
        </w:rPr>
        <w:t>Vestnik Instituta vostokovedenija RAN</w:t>
      </w:r>
      <w:r>
        <w:rPr>
          <w:rFonts w:eastAsia="MingLiU;細明體" w:cs="Garamond" w:ascii="Garamond" w:hAnsi="Garamond"/>
          <w:sz w:val="22"/>
          <w:szCs w:val="22"/>
          <w:lang w:val="en-US"/>
        </w:rPr>
        <w:t>. 2020. 2. Pp. </w:t>
      </w:r>
      <w:r>
        <w:rPr>
          <w:rFonts w:eastAsia="MingLiU;細明體" w:cs="Garamond" w:ascii="Garamond" w:hAnsi="Garamond"/>
          <w:sz w:val="22"/>
          <w:szCs w:val="22"/>
        </w:rPr>
        <w:t>277</w:t>
      </w:r>
      <w:r>
        <w:rPr>
          <w:rFonts w:eastAsia="MingLiU;細明體" w:cs="Garamond" w:ascii="Garamond" w:hAnsi="Garamond"/>
          <w:sz w:val="22"/>
          <w:szCs w:val="22"/>
          <w:lang w:val="en-US"/>
        </w:rPr>
        <w:t>–</w:t>
      </w:r>
      <w:r>
        <w:rPr>
          <w:rFonts w:eastAsia="MingLiU;細明體" w:cs="Garamond" w:ascii="Garamond" w:hAnsi="Garamond"/>
          <w:sz w:val="22"/>
          <w:szCs w:val="22"/>
        </w:rPr>
        <w:t>283</w:t>
      </w:r>
      <w:r>
        <w:rPr>
          <w:rFonts w:eastAsia="MingLiU;細明體" w:cs="Garamond" w:ascii="Garamond" w:hAnsi="Garamond"/>
          <w:sz w:val="22"/>
          <w:szCs w:val="22"/>
          <w:lang w:val="en-US"/>
        </w:rPr>
        <w:t>. DOI:</w:t>
      </w:r>
      <w:r>
        <w:rPr>
          <w:rFonts w:eastAsia="MingLiU;細明體" w:cs="Garamond" w:ascii="Garamond" w:hAnsi="Garamond"/>
          <w:sz w:val="22"/>
          <w:szCs w:val="22"/>
        </w:rPr>
        <w:t> </w:t>
      </w:r>
      <w:r>
        <w:rPr>
          <w:rFonts w:eastAsia="MingLiU;細明體" w:cs="Garamond" w:ascii="Garamond" w:hAnsi="Garamond"/>
          <w:sz w:val="22"/>
          <w:szCs w:val="22"/>
          <w:lang w:val="en-US"/>
        </w:rPr>
        <w:t>10.31696/2618-7302-2020-2-</w:t>
      </w:r>
      <w:r>
        <w:rPr>
          <w:rFonts w:eastAsia="MingLiU;細明體" w:cs="Garamond" w:ascii="Garamond" w:hAnsi="Garamond"/>
          <w:sz w:val="22"/>
          <w:szCs w:val="22"/>
        </w:rPr>
        <w:t>277</w:t>
      </w:r>
      <w:r>
        <w:rPr>
          <w:rFonts w:eastAsia="MingLiU;細明體" w:cs="Garamond" w:ascii="Garamond" w:hAnsi="Garamond"/>
          <w:sz w:val="22"/>
          <w:szCs w:val="22"/>
          <w:lang w:val="en-US"/>
        </w:rPr>
        <w:t>-</w:t>
      </w:r>
      <w:r>
        <w:rPr>
          <w:rFonts w:eastAsia="MingLiU;細明體" w:cs="Garamond" w:ascii="Garamond" w:hAnsi="Garamond"/>
          <w:sz w:val="22"/>
          <w:szCs w:val="22"/>
        </w:rPr>
        <w:t>283</w:t>
      </w:r>
    </w:p>
    <w:p>
      <w:pPr>
        <w:pStyle w:val="Normal"/>
        <w:ind w:end="-31" w:firstLine="720"/>
        <w:jc w:val="both"/>
        <w:rPr>
          <w:rFonts w:ascii="Garamond" w:hAnsi="Garamond" w:eastAsia="MingLiU;細明體" w:cs="Garamond"/>
          <w:sz w:val="22"/>
          <w:szCs w:val="22"/>
        </w:rPr>
      </w:pPr>
      <w:r>
        <w:rPr>
          <w:rFonts w:eastAsia="MingLiU;細明體" w:cs="Garamond" w:ascii="Garamond" w:hAnsi="Garamond"/>
          <w:sz w:val="22"/>
          <w:szCs w:val="22"/>
        </w:rPr>
      </w:r>
    </w:p>
    <w:p>
      <w:pPr>
        <w:pStyle w:val="Normal"/>
        <w:ind w:end="-31" w:hanging="0"/>
        <w:jc w:val="both"/>
        <w:rPr/>
      </w:pPr>
      <w:r>
        <w:rPr/>
        <w:t>В</w:t>
      </w:r>
      <w:r>
        <w:rPr>
          <w:rFonts w:eastAsia="MingLiU;細明體" w:cs="Garamond" w:ascii="Garamond" w:hAnsi="Garamond"/>
          <w:sz w:val="24"/>
          <w:szCs w:val="24"/>
        </w:rPr>
        <w:t xml:space="preserve">о второй половине </w:t>
      </w:r>
      <w:r>
        <w:rPr>
          <w:rFonts w:eastAsia="MingLiU;細明體" w:cs="Garamond" w:ascii="Garamond" w:hAnsi="Garamond"/>
          <w:sz w:val="24"/>
          <w:szCs w:val="24"/>
          <w:lang w:val="en-US"/>
        </w:rPr>
        <w:t>XIX</w:t>
      </w:r>
      <w:r>
        <w:rPr>
          <w:rFonts w:eastAsia="MingLiU;細明體" w:cs="Garamond" w:ascii="Garamond" w:hAnsi="Garamond"/>
          <w:sz w:val="24"/>
          <w:szCs w:val="24"/>
        </w:rPr>
        <w:t xml:space="preserve"> — начале </w:t>
      </w:r>
      <w:r>
        <w:rPr>
          <w:rFonts w:eastAsia="MingLiU;細明體" w:cs="Garamond" w:ascii="Garamond" w:hAnsi="Garamond"/>
          <w:sz w:val="24"/>
          <w:szCs w:val="24"/>
          <w:lang w:val="en-US"/>
        </w:rPr>
        <w:t>XX </w:t>
      </w:r>
      <w:r>
        <w:rPr>
          <w:rFonts w:eastAsia="MingLiU;細明體" w:cs="Garamond" w:ascii="Garamond" w:hAnsi="Garamond"/>
          <w:sz w:val="24"/>
          <w:szCs w:val="24"/>
        </w:rPr>
        <w:t>вв. Япония переживала беспрецедентные перемены: был свергнут сёгунат Токугава и благодаря т. н.  Реставрации  Мэйдзи</w:t>
      </w:r>
      <w:r>
        <w:rPr>
          <w:rStyle w:val="Style12"/>
          <w:rStyle w:val="Style20"/>
          <w:rFonts w:eastAsia="MingLiU;細明體" w:cs="Garamond" w:ascii="Garamond" w:hAnsi="Garamond"/>
          <w:sz w:val="24"/>
          <w:szCs w:val="24"/>
        </w:rPr>
        <w:footnoteReference w:id="3"/>
      </w:r>
      <w:r>
        <w:rPr>
          <w:rFonts w:eastAsia="MingLiU;細明體" w:cs="Garamond" w:ascii="Garamond" w:hAnsi="Garamond"/>
          <w:sz w:val="24"/>
          <w:szCs w:val="24"/>
        </w:rPr>
        <w:t xml:space="preserve">  1868–1869 гг.  страна  встала  на  путь капиталистического развития и индустриализации. «Причины беспрецедентного роста Японии середины — второй половины XIX в. сложились именно в этот мирный период» [Nakamura, 1985,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1], и именно в эпоху Мэйдзи были заложены основы процветания Японии в ХХ в.</w:t>
      </w:r>
    </w:p>
    <w:p>
      <w:pPr>
        <w:pStyle w:val="Normal"/>
        <w:ind w:end="-31" w:firstLine="720"/>
        <w:jc w:val="both"/>
        <w:rPr/>
      </w:pPr>
      <w:r>
        <w:rPr>
          <w:rFonts w:eastAsia="MingLiU;細明體" w:cs="Garamond" w:ascii="Garamond" w:hAnsi="Garamond"/>
          <w:sz w:val="24"/>
          <w:szCs w:val="24"/>
        </w:rPr>
        <w:t xml:space="preserve">Маньчжурия официально входила в состав империи </w:t>
      </w:r>
      <w:r>
        <w:rPr>
          <w:rFonts w:eastAsia="MingLiU;細明體" w:cs="Garamond" w:ascii="Garamond" w:hAnsi="Garamond"/>
          <w:sz w:val="24"/>
          <w:szCs w:val="24"/>
        </w:rPr>
        <w:fldChar w:fldCharType="begin"/>
      </w:r>
      <w:r>
        <w:rPr>
          <w:sz w:val="24"/>
          <w:szCs w:val="24"/>
          <w:rFonts w:eastAsia="MingLiU;細明體" w:cs="Garamond" w:ascii="Garamond" w:hAnsi="Garamond"/>
        </w:rPr>
        <w:instrText> PAGE \* ARABIC </w:instrText>
      </w:r>
      <w:r>
        <w:rPr>
          <w:sz w:val="24"/>
          <w:szCs w:val="24"/>
          <w:rFonts w:eastAsia="MingLiU;細明體" w:cs="Garamond" w:ascii="Garamond" w:hAnsi="Garamond"/>
        </w:rPr>
        <w:fldChar w:fldCharType="separate"/>
      </w:r>
      <w:r>
        <w:rPr>
          <w:sz w:val="24"/>
          <w:szCs w:val="24"/>
          <w:rFonts w:eastAsia="MingLiU;細明體" w:cs="Garamond" w:ascii="Garamond" w:hAnsi="Garamond"/>
        </w:rPr>
        <w:t>280</w:t>
      </w:r>
      <w:r>
        <w:rPr>
          <w:sz w:val="24"/>
          <w:szCs w:val="24"/>
          <w:rFonts w:eastAsia="MingLiU;細明體" w:cs="Garamond" w:ascii="Garamond" w:hAnsi="Garamond"/>
        </w:rPr>
        <w:fldChar w:fldCharType="end"/>
      </w:r>
      <w:r>
        <w:rPr>
          <w:rFonts w:eastAsia="MingLiU;細明體" w:cs="Garamond" w:ascii="Garamond" w:hAnsi="Garamond"/>
          <w:sz w:val="24"/>
          <w:szCs w:val="24"/>
        </w:rPr>
        <w:t>инн, но к концу ХIХ в. Российская империя почти полностью захватила эти земли: в 1898 г. она получила контроль над полуостровом Ляодун и портом Люйшунь (Порт-Артур)</w:t>
      </w:r>
      <w:r>
        <w:rPr>
          <w:rStyle w:val="Style12"/>
          <w:rStyle w:val="Style20"/>
          <w:rFonts w:eastAsia="MingLiU;細明體" w:cs="Garamond" w:ascii="Garamond" w:hAnsi="Garamond"/>
          <w:sz w:val="24"/>
          <w:szCs w:val="24"/>
        </w:rPr>
        <w:footnoteReference w:id="4"/>
      </w:r>
      <w:r>
        <w:rPr>
          <w:rFonts w:eastAsia="MingLiU;細明體" w:cs="Garamond" w:ascii="Garamond" w:hAnsi="Garamond"/>
          <w:sz w:val="24"/>
          <w:szCs w:val="24"/>
        </w:rPr>
        <w:t>, а также стала развивать  порт  Далянь  (Дальний)</w:t>
      </w:r>
      <w:r>
        <w:rPr>
          <w:rStyle w:val="Style12"/>
          <w:rStyle w:val="Style20"/>
          <w:rFonts w:eastAsia="MingLiU;細明體" w:cs="Garamond" w:ascii="Garamond" w:hAnsi="Garamond"/>
          <w:sz w:val="24"/>
          <w:szCs w:val="24"/>
        </w:rPr>
        <w:footnoteReference w:id="5"/>
      </w:r>
      <w:r>
        <w:rPr>
          <w:rFonts w:eastAsia="MingLiU;細明體" w:cs="Garamond" w:ascii="Garamond" w:hAnsi="Garamond"/>
          <w:sz w:val="24"/>
          <w:szCs w:val="24"/>
        </w:rPr>
        <w:t xml:space="preserve">  [</w:t>
      </w:r>
      <w:r>
        <w:rPr>
          <w:rFonts w:eastAsia="MingLiU;細明體" w:cs="Garamond" w:ascii="Garamond" w:hAnsi="Garamond"/>
          <w:sz w:val="24"/>
          <w:szCs w:val="24"/>
          <w:lang w:val="en-US"/>
        </w:rPr>
        <w:t>Noguchi</w:t>
      </w:r>
      <w:r>
        <w:rPr>
          <w:rFonts w:eastAsia="MingLiU;細明體" w:cs="Garamond" w:ascii="Garamond" w:hAnsi="Garamond"/>
          <w:sz w:val="24"/>
          <w:szCs w:val="24"/>
        </w:rPr>
        <w:t xml:space="preserve">, </w:t>
      </w:r>
      <w:r>
        <w:rPr>
          <w:rFonts w:eastAsia="MingLiU;細明體" w:cs="Garamond" w:ascii="Garamond" w:hAnsi="Garamond"/>
          <w:sz w:val="24"/>
          <w:szCs w:val="24"/>
          <w:lang w:val="en-US"/>
        </w:rPr>
        <w:t>Boyns</w:t>
      </w:r>
      <w:r>
        <w:rPr>
          <w:rFonts w:eastAsia="MingLiU;細明體" w:cs="Garamond" w:ascii="Garamond" w:hAnsi="Garamond"/>
          <w:sz w:val="24"/>
          <w:szCs w:val="24"/>
        </w:rPr>
        <w:t xml:space="preserve">, 2013,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3].  На  территории Маньчжурии Россия продлила Транссибирскую железную дорогу на юг в виде Китайско-Восточной железной дороги (КВЖД)</w:t>
      </w:r>
      <w:r>
        <w:rPr>
          <w:rStyle w:val="Style12"/>
          <w:rStyle w:val="Style20"/>
          <w:rFonts w:eastAsia="MingLiU;細明體" w:cs="Garamond" w:ascii="Garamond" w:hAnsi="Garamond"/>
          <w:sz w:val="24"/>
          <w:szCs w:val="24"/>
        </w:rPr>
        <w:footnoteReference w:id="6"/>
      </w:r>
      <w:r>
        <w:rPr>
          <w:rFonts w:eastAsia="MingLiU;細明體" w:cs="Garamond" w:ascii="Garamond" w:hAnsi="Garamond"/>
          <w:sz w:val="24"/>
          <w:szCs w:val="24"/>
        </w:rPr>
        <w:t xml:space="preserve">, соединившей Читу с Владивостоком и Порт-Артуром. Это способствовало еще большему увеличению влияния Российской империи на Дальнем Востоке.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В 1904–1905 гг. произошла Русско-японская война, по окончании которой был заключен Портсмутский мирный договор. В соответствии с договором победившей в войне с Россией Японии отошли Южный Сахалин, права на аренду Ляодунского полуострова и Южно-Маньчжурская железная дорога (ЮМЖД; </w:t>
      </w:r>
      <w:r>
        <w:rPr>
          <w:rFonts w:ascii="Garamond" w:hAnsi="Garamond" w:eastAsia="MingLiU;細明體"/>
          <w:bCs/>
          <w:sz w:val="24"/>
          <w:szCs w:val="24"/>
        </w:rPr>
        <w:t>南満洲鉄道</w:t>
      </w:r>
      <w:r>
        <w:rPr>
          <w:rFonts w:eastAsia="MingLiU;細明體" w:cs="Garamond" w:ascii="Garamond" w:hAnsi="Garamond"/>
          <w:bCs/>
          <w:sz w:val="24"/>
          <w:szCs w:val="24"/>
        </w:rPr>
        <w:t xml:space="preserve">; </w:t>
      </w:r>
      <w:r>
        <w:rPr>
          <w:rFonts w:eastAsia="MingLiU;細明體" w:cs="Garamond" w:ascii="Garamond" w:hAnsi="Garamond"/>
          <w:bCs/>
          <w:i/>
          <w:sz w:val="24"/>
          <w:szCs w:val="24"/>
        </w:rPr>
        <w:t>минамимансю:тэцудо</w:t>
      </w:r>
      <w:r>
        <w:rPr>
          <w:rFonts w:eastAsia="MingLiU;細明體" w:cs="Garamond" w:ascii="Garamond" w:hAnsi="Garamond"/>
          <w:sz w:val="24"/>
          <w:szCs w:val="24"/>
        </w:rPr>
        <w:t>:) — железнодорожная магистраль протяженностью 941 км, протянувшаяся от Чанчуня до Порт-Артура и являющаяся южной частью КВЖД). Международный авторитет Японии возрос, и она вступила в клуб великих держав.</w:t>
      </w:r>
    </w:p>
    <w:p>
      <w:pPr>
        <w:pStyle w:val="Normal"/>
        <w:ind w:end="-31" w:firstLine="720"/>
        <w:jc w:val="both"/>
        <w:rPr/>
      </w:pPr>
      <w:r>
        <w:rPr>
          <w:rFonts w:eastAsia="MingLiU;細明體" w:cs="Garamond" w:ascii="Garamond" w:hAnsi="Garamond"/>
          <w:sz w:val="24"/>
          <w:szCs w:val="24"/>
        </w:rPr>
        <w:t>После войны Маньчжурия фактически была поделена на сферы влияния между Россией и Японией. В 1907, 1910, 1912 и 1916 гг. были заключены русско-японские общеполитические конвенции, в соответствии с которыми в сферу влияния России вошли Северная Маньчжурия, Внешняя Монголия</w:t>
      </w:r>
      <w:r>
        <w:rPr>
          <w:rStyle w:val="Style12"/>
          <w:rStyle w:val="Style20"/>
          <w:rFonts w:eastAsia="MingLiU;細明體" w:cs="Garamond" w:ascii="Garamond" w:hAnsi="Garamond"/>
          <w:sz w:val="24"/>
          <w:szCs w:val="24"/>
        </w:rPr>
        <w:footnoteReference w:id="7"/>
      </w:r>
      <w:r>
        <w:rPr>
          <w:rFonts w:eastAsia="MingLiU;細明體" w:cs="Garamond" w:ascii="Garamond" w:hAnsi="Garamond"/>
          <w:sz w:val="24"/>
          <w:szCs w:val="24"/>
        </w:rPr>
        <w:t xml:space="preserve"> и западная часть Внутренней Монголии</w:t>
      </w:r>
      <w:r>
        <w:rPr>
          <w:rStyle w:val="Style12"/>
          <w:rStyle w:val="Style20"/>
          <w:rFonts w:eastAsia="MingLiU;細明體" w:cs="Garamond" w:ascii="Garamond" w:hAnsi="Garamond"/>
          <w:sz w:val="24"/>
          <w:szCs w:val="24"/>
        </w:rPr>
        <w:footnoteReference w:id="8"/>
      </w:r>
      <w:r>
        <w:rPr>
          <w:rFonts w:eastAsia="MingLiU;細明體" w:cs="Garamond" w:ascii="Garamond" w:hAnsi="Garamond"/>
          <w:sz w:val="24"/>
          <w:szCs w:val="24"/>
        </w:rPr>
        <w:t xml:space="preserve">, в сферу влияния Японии — Южная Маньчжурия, Корейский полуостров и восточная часть Внутренней Монголии [Гримм, 1927, </w:t>
      </w:r>
      <w:r>
        <w:rPr>
          <w:rFonts w:eastAsia="MingLiU;細明體" w:cs="Garamond" w:ascii="Garamond" w:hAnsi="Garamond"/>
          <w:sz w:val="24"/>
          <w:szCs w:val="24"/>
          <w:lang w:val="en-US"/>
        </w:rPr>
        <w:t>c</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169, 176–177, 180, 191–192]. Но в 1917 г. произошла Русская революция, которая нарушила все договоренности. </w:t>
      </w:r>
    </w:p>
    <w:p>
      <w:pPr>
        <w:pStyle w:val="Normal"/>
        <w:ind w:end="-31" w:firstLine="720"/>
        <w:jc w:val="both"/>
        <w:rPr/>
      </w:pPr>
      <w:r>
        <w:rPr>
          <w:rFonts w:eastAsia="MingLiU;細明體" w:cs="Garamond" w:ascii="Garamond" w:hAnsi="Garamond"/>
          <w:sz w:val="24"/>
          <w:szCs w:val="24"/>
        </w:rPr>
        <w:t xml:space="preserve">На основе ЮМЖД в 1906 г. была создана Южно-Маньчжурская железнодорожная компания (ЮМЖК, яп. </w:t>
      </w:r>
      <w:r>
        <w:rPr>
          <w:rFonts w:ascii="Garamond" w:hAnsi="Garamond" w:eastAsia="MingLiU;細明體"/>
          <w:bCs/>
          <w:sz w:val="24"/>
          <w:szCs w:val="24"/>
        </w:rPr>
        <w:t>南満洲鉄道株式会社</w:t>
      </w:r>
      <w:r>
        <w:rPr>
          <w:rFonts w:eastAsia="MingLiU;細明體" w:cs="Garamond" w:ascii="Garamond" w:hAnsi="Garamond"/>
          <w:bCs/>
          <w:sz w:val="24"/>
          <w:szCs w:val="24"/>
        </w:rPr>
        <w:t>,</w:t>
      </w:r>
      <w:r>
        <w:rPr>
          <w:rFonts w:eastAsia="MingLiU;細明體" w:cs="Garamond" w:ascii="Garamond" w:hAnsi="Garamond"/>
          <w:i/>
          <w:sz w:val="24"/>
          <w:szCs w:val="24"/>
        </w:rPr>
        <w:t xml:space="preserve"> минамимансю:тэцудо:кабусикигайся</w:t>
      </w:r>
      <w:r>
        <w:rPr>
          <w:rFonts w:eastAsia="MingLiU;細明體" w:cs="Garamond" w:ascii="Garamond" w:hAnsi="Garamond"/>
          <w:sz w:val="24"/>
          <w:szCs w:val="24"/>
        </w:rPr>
        <w:t>, или кратко</w:t>
      </w:r>
      <w:r>
        <w:rPr>
          <w:rFonts w:ascii="Garamond" w:hAnsi="Garamond" w:eastAsia="MingLiU;細明體"/>
          <w:iCs/>
          <w:sz w:val="24"/>
          <w:szCs w:val="24"/>
        </w:rPr>
        <w:t>満鉄</w:t>
      </w:r>
      <w:r>
        <w:rPr>
          <w:rFonts w:eastAsia="MingLiU;細明體" w:cs="Garamond" w:ascii="Garamond" w:hAnsi="Garamond"/>
          <w:iCs/>
          <w:sz w:val="24"/>
          <w:szCs w:val="24"/>
        </w:rPr>
        <w:t xml:space="preserve">, </w:t>
      </w:r>
      <w:r>
        <w:rPr>
          <w:rFonts w:eastAsia="MingLiU;細明體" w:cs="Garamond" w:ascii="Garamond" w:hAnsi="Garamond"/>
          <w:i/>
          <w:iCs/>
          <w:sz w:val="24"/>
          <w:szCs w:val="24"/>
        </w:rPr>
        <w:t>мантэцу</w:t>
      </w:r>
      <w:r>
        <w:rPr>
          <w:rFonts w:eastAsia="MingLiU;細明體" w:cs="Garamond" w:ascii="Garamond" w:hAnsi="Garamond"/>
          <w:sz w:val="24"/>
          <w:szCs w:val="24"/>
        </w:rPr>
        <w:t xml:space="preserve">). Именно о </w:t>
      </w:r>
      <w:r>
        <w:rPr>
          <w:rFonts w:eastAsia="MingLiU;細明體" w:cs="Garamond" w:ascii="Garamond" w:hAnsi="Garamond"/>
          <w:i/>
          <w:sz w:val="24"/>
          <w:szCs w:val="24"/>
        </w:rPr>
        <w:t>мантэцу</w:t>
      </w:r>
      <w:r>
        <w:rPr>
          <w:rFonts w:eastAsia="MingLiU;細明體" w:cs="Garamond" w:ascii="Garamond" w:hAnsi="Garamond"/>
          <w:sz w:val="24"/>
          <w:szCs w:val="24"/>
        </w:rPr>
        <w:t xml:space="preserve">, главном средстве политического и экономического влияния Японии в Южной Маньчжурии, и пойдет речь в статье. </w:t>
      </w:r>
    </w:p>
    <w:p>
      <w:pPr>
        <w:pStyle w:val="Normal"/>
        <w:ind w:end="-31" w:firstLine="720"/>
        <w:jc w:val="both"/>
        <w:rPr/>
      </w:pPr>
      <w:r>
        <w:rPr>
          <w:rFonts w:eastAsia="MingLiU;細明體" w:cs="Garamond" w:ascii="Garamond" w:hAnsi="Garamond"/>
          <w:sz w:val="24"/>
          <w:szCs w:val="24"/>
        </w:rPr>
        <w:t xml:space="preserve">Компания была учреждена 7 июня 1906 г. и, по сути, стала отвечать за управление всей территорией Южной Маньчжурии, а также за защиту особых прав и интересов Японии в этом регионе. Именно правительство Японии назначало высшего руководителя </w:t>
      </w:r>
      <w:r>
        <w:rPr>
          <w:rFonts w:eastAsia="MingLiU;細明體" w:cs="Garamond" w:ascii="Garamond" w:hAnsi="Garamond"/>
          <w:i/>
          <w:sz w:val="24"/>
          <w:szCs w:val="24"/>
        </w:rPr>
        <w:t>мантэцу</w:t>
      </w:r>
      <w:r>
        <w:rPr>
          <w:rFonts w:eastAsia="MingLiU;細明體" w:cs="Garamond" w:ascii="Garamond" w:hAnsi="Garamond"/>
          <w:sz w:val="24"/>
          <w:szCs w:val="24"/>
        </w:rPr>
        <w:t xml:space="preserve"> — президента, а также двух вице-президентов, совет директоров и инспекторов. Президент и вице-президенты назначались на 5 лет, директора — на 4 года [</w:t>
      </w:r>
      <w:r>
        <w:rPr>
          <w:rFonts w:eastAsia="MingLiU;細明體" w:cs="Garamond" w:ascii="Garamond" w:hAnsi="Garamond"/>
          <w:sz w:val="24"/>
          <w:szCs w:val="24"/>
          <w:lang w:val="en-US"/>
        </w:rPr>
        <w:t>Noguchi</w:t>
      </w:r>
      <w:r>
        <w:rPr>
          <w:rFonts w:eastAsia="MingLiU;細明體" w:cs="Garamond" w:ascii="Garamond" w:hAnsi="Garamond"/>
          <w:sz w:val="24"/>
          <w:szCs w:val="24"/>
        </w:rPr>
        <w:t xml:space="preserve">, </w:t>
      </w:r>
      <w:r>
        <w:rPr>
          <w:rFonts w:eastAsia="MingLiU;細明體" w:cs="Garamond" w:ascii="Garamond" w:hAnsi="Garamond"/>
          <w:sz w:val="24"/>
          <w:szCs w:val="24"/>
          <w:lang w:val="en-US"/>
        </w:rPr>
        <w:t>Boyns</w:t>
      </w:r>
      <w:r>
        <w:rPr>
          <w:rFonts w:eastAsia="MingLiU;細明體" w:cs="Garamond" w:ascii="Garamond" w:hAnsi="Garamond"/>
          <w:sz w:val="24"/>
          <w:szCs w:val="24"/>
        </w:rPr>
        <w:t xml:space="preserve">, 2013,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6]. Такая система привносила элемент государственного контроля в компанию [</w:t>
      </w:r>
      <w:r>
        <w:rPr>
          <w:rFonts w:eastAsia="MingLiU;細明體" w:cs="Garamond" w:ascii="Garamond" w:hAnsi="Garamond"/>
          <w:sz w:val="24"/>
          <w:szCs w:val="24"/>
          <w:lang w:val="en-US"/>
        </w:rPr>
        <w:t>Kawakami</w:t>
      </w:r>
      <w:r>
        <w:rPr>
          <w:rFonts w:eastAsia="MingLiU;細明體" w:cs="Garamond" w:ascii="Garamond" w:hAnsi="Garamond"/>
          <w:sz w:val="24"/>
          <w:szCs w:val="24"/>
        </w:rPr>
        <w:t xml:space="preserve">, 1932,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114]. Первым президентом </w:t>
      </w:r>
      <w:r>
        <w:rPr>
          <w:rFonts w:eastAsia="MingLiU;細明體" w:cs="Garamond" w:ascii="Garamond" w:hAnsi="Garamond"/>
          <w:i/>
          <w:sz w:val="24"/>
          <w:szCs w:val="24"/>
        </w:rPr>
        <w:t>мантэцу</w:t>
      </w:r>
      <w:r>
        <w:rPr>
          <w:rFonts w:eastAsia="MingLiU;細明體" w:cs="Garamond" w:ascii="Garamond" w:hAnsi="Garamond"/>
          <w:sz w:val="24"/>
          <w:szCs w:val="24"/>
        </w:rPr>
        <w:t xml:space="preserve"> был назначен  губернатор  Тайваня  Гото  Симпэй</w:t>
      </w:r>
      <w:r>
        <w:rPr>
          <w:rStyle w:val="Style20"/>
          <w:rFonts w:eastAsia="MingLiU;細明體" w:cs="Garamond" w:ascii="Garamond" w:hAnsi="Garamond"/>
          <w:sz w:val="24"/>
          <w:szCs w:val="24"/>
          <w:vertAlign w:val="superscript"/>
        </w:rPr>
        <w:footnoteReference w:id="9"/>
      </w:r>
      <w:r>
        <w:rPr>
          <w:rFonts w:eastAsia="MingLiU;細明體" w:cs="Garamond" w:ascii="Garamond" w:hAnsi="Garamond"/>
          <w:sz w:val="24"/>
          <w:szCs w:val="24"/>
        </w:rPr>
        <w:t>.  И  уже  1 апреля  1907 г.</w:t>
      </w:r>
      <w:r>
        <w:rPr>
          <w:rFonts w:eastAsia="MingLiU;細明體" w:cs="Garamond" w:ascii="Garamond" w:hAnsi="Garamond"/>
          <w:i/>
          <w:sz w:val="24"/>
          <w:szCs w:val="24"/>
        </w:rPr>
        <w:t xml:space="preserve">  мантэцу</w:t>
      </w:r>
      <w:r>
        <w:rPr>
          <w:rFonts w:eastAsia="MingLiU;細明體" w:cs="Garamond" w:ascii="Garamond" w:hAnsi="Garamond"/>
          <w:sz w:val="24"/>
          <w:szCs w:val="24"/>
        </w:rPr>
        <w:t xml:space="preserve"> официально начала свою деятельность. Под контроль компании было передано 1142,3 км железных дорог с территорией общей площадью 250 кв. км, где компании предстояло построить инфраструктуру для обслуживания железной дороги и обеспечения жизнедеятельности всех предприятий, входивших в </w:t>
      </w:r>
      <w:r>
        <w:rPr>
          <w:rFonts w:eastAsia="MingLiU;細明體" w:cs="Garamond" w:ascii="Garamond" w:hAnsi="Garamond"/>
          <w:i/>
          <w:sz w:val="24"/>
          <w:szCs w:val="24"/>
        </w:rPr>
        <w:t>мантэцу</w:t>
      </w:r>
      <w:r>
        <w:rPr>
          <w:rFonts w:eastAsia="MingLiU;細明體" w:cs="Garamond" w:ascii="Garamond" w:hAnsi="Garamond"/>
          <w:sz w:val="24"/>
          <w:szCs w:val="24"/>
        </w:rPr>
        <w:t xml:space="preserve">. Штаб-квартира </w:t>
      </w:r>
      <w:r>
        <w:rPr>
          <w:rFonts w:eastAsia="MingLiU;細明體" w:cs="Garamond" w:ascii="Garamond" w:hAnsi="Garamond"/>
          <w:i/>
          <w:sz w:val="24"/>
          <w:szCs w:val="24"/>
        </w:rPr>
        <w:t>мантэцу</w:t>
      </w:r>
      <w:r>
        <w:rPr>
          <w:rFonts w:eastAsia="MingLiU;細明體" w:cs="Garamond" w:ascii="Garamond" w:hAnsi="Garamond"/>
          <w:sz w:val="24"/>
          <w:szCs w:val="24"/>
        </w:rPr>
        <w:t xml:space="preserve"> изначально находилась в Токио, но в апреле 1907 г. была перенесена на территорию глубоководного, искусственно созданного коммерческого порта Дальний [Мияваки, 2010, с. 167; </w:t>
      </w:r>
      <w:r>
        <w:rPr>
          <w:rFonts w:eastAsia="MingLiU;細明體" w:cs="Garamond" w:ascii="Garamond" w:hAnsi="Garamond"/>
          <w:sz w:val="24"/>
          <w:szCs w:val="24"/>
          <w:lang w:val="en-US"/>
        </w:rPr>
        <w:t>Matsusaka</w:t>
      </w:r>
      <w:r>
        <w:rPr>
          <w:rFonts w:eastAsia="MingLiU;細明體" w:cs="Garamond" w:ascii="Garamond" w:hAnsi="Garamond"/>
          <w:sz w:val="24"/>
          <w:szCs w:val="24"/>
        </w:rPr>
        <w:t xml:space="preserve">, 2010,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38].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После заключения Портсмутского договора в Квантунской области Ляодунского полуострова были размещены специальные гарнизоны японских военных в количестве 15 человек на 1 км для охраны железной дороги и прилегающих областей (во время переговоров количество военных варьировалось от 5 до 20 человек) [Асада, 2014, с. 54] Именно эти гарнизоны для охраны порядка на ЮМЖД стали основой для создания в 1919 г. знаменитой Квантунской армии. </w:t>
      </w:r>
    </w:p>
    <w:p>
      <w:pPr>
        <w:pStyle w:val="Normal"/>
        <w:ind w:end="-31" w:firstLine="720"/>
        <w:jc w:val="both"/>
        <w:rPr/>
      </w:pPr>
      <w:r>
        <w:rPr>
          <w:rFonts w:eastAsia="MingLiU;細明體" w:cs="Garamond" w:ascii="Garamond" w:hAnsi="Garamond"/>
          <w:sz w:val="24"/>
          <w:szCs w:val="24"/>
        </w:rPr>
        <w:t xml:space="preserve">Администрация состояла из пяти управлений — общего, исследовательского, транспортного, горнорудного и местного. Общее управление отвечало за бухгалтерский учет, а также строительство сооружений, необходимых для деятельности компании. Исследовательский отдел проводил фундаментальные исследования, на основе которых формировался основной вектор политики компании. Транспортный отдел занимался железными дорогами, строительством и эксплуатацией порта Дальнего. Горнорудный отдел проводил геологические исследования и занимался продажей полезных ископаемых. Местное управление отвечало за управление территорией, расположенной вблизи железных дорог [Мияваки, 2010,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167].</w:t>
      </w:r>
    </w:p>
    <w:p>
      <w:pPr>
        <w:pStyle w:val="Normal"/>
        <w:ind w:end="-31" w:firstLine="720"/>
        <w:jc w:val="both"/>
        <w:rPr/>
      </w:pPr>
      <w:r>
        <w:rPr>
          <w:rFonts w:eastAsia="MingLiU;細明體" w:cs="Garamond" w:ascii="Garamond" w:hAnsi="Garamond"/>
          <w:sz w:val="24"/>
          <w:szCs w:val="24"/>
        </w:rPr>
        <w:t>Исследовательское управление (</w:t>
      </w:r>
      <w:r>
        <w:rPr>
          <w:rFonts w:ascii="Garamond" w:hAnsi="Garamond" w:eastAsia="MingLiU;細明體"/>
          <w:bCs/>
          <w:sz w:val="24"/>
          <w:szCs w:val="24"/>
        </w:rPr>
        <w:t>満鉄調査部</w:t>
      </w:r>
      <w:r>
        <w:rPr>
          <w:rFonts w:eastAsia="MingLiU;細明體" w:cs="Garamond" w:ascii="Garamond" w:hAnsi="Garamond"/>
          <w:sz w:val="24"/>
          <w:szCs w:val="24"/>
        </w:rPr>
        <w:t xml:space="preserve">; </w:t>
      </w:r>
      <w:r>
        <w:rPr>
          <w:rFonts w:eastAsia="MingLiU;細明體" w:cs="Garamond" w:ascii="Garamond" w:hAnsi="Garamond"/>
          <w:i/>
          <w:sz w:val="24"/>
          <w:szCs w:val="24"/>
        </w:rPr>
        <w:t>мантэцу тёсабу</w:t>
      </w:r>
      <w:r>
        <w:rPr>
          <w:rFonts w:eastAsia="MingLiU;細明體" w:cs="Garamond" w:ascii="Garamond" w:hAnsi="Garamond"/>
          <w:sz w:val="24"/>
          <w:szCs w:val="24"/>
        </w:rPr>
        <w:t xml:space="preserve">) было создано в 1907 г. по инициативе президента </w:t>
      </w:r>
      <w:r>
        <w:rPr>
          <w:rFonts w:eastAsia="MingLiU;細明體" w:cs="Garamond" w:ascii="Garamond" w:hAnsi="Garamond"/>
          <w:i/>
          <w:sz w:val="24"/>
          <w:szCs w:val="24"/>
        </w:rPr>
        <w:t>мантэцу</w:t>
      </w:r>
      <w:r>
        <w:rPr>
          <w:rFonts w:eastAsia="MingLiU;細明體" w:cs="Garamond" w:ascii="Garamond" w:hAnsi="Garamond"/>
          <w:sz w:val="24"/>
          <w:szCs w:val="24"/>
        </w:rPr>
        <w:t xml:space="preserve"> Гото, считавшего исследовательскую деятельность самой необходимой в колониальном управлении [</w:t>
      </w:r>
      <w:r>
        <w:rPr>
          <w:rStyle w:val="Style19"/>
          <w:rFonts w:eastAsia="MingLiU;細明體" w:cs="Garamond" w:ascii="Garamond" w:hAnsi="Garamond"/>
          <w:b w:val="false"/>
          <w:sz w:val="24"/>
          <w:szCs w:val="24"/>
          <w:lang w:val="en-US"/>
        </w:rPr>
        <w:t>Fogel</w:t>
      </w:r>
      <w:r>
        <w:rPr>
          <w:rStyle w:val="Style19"/>
          <w:rFonts w:eastAsia="MingLiU;細明體" w:cs="Garamond" w:ascii="Garamond" w:hAnsi="Garamond"/>
          <w:b w:val="false"/>
          <w:sz w:val="24"/>
          <w:szCs w:val="24"/>
        </w:rPr>
        <w:t xml:space="preserve">, </w:t>
      </w:r>
      <w:r>
        <w:rPr>
          <w:rFonts w:eastAsia="MingLiU;細明體" w:cs="Garamond" w:ascii="Garamond" w:hAnsi="Garamond"/>
          <w:sz w:val="24"/>
          <w:szCs w:val="24"/>
        </w:rPr>
        <w:t xml:space="preserve">1988,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V</w:t>
      </w:r>
      <w:r>
        <w:rPr>
          <w:rFonts w:eastAsia="MingLiU;細明體" w:cs="Garamond" w:ascii="Garamond" w:hAnsi="Garamond"/>
          <w:sz w:val="24"/>
          <w:szCs w:val="24"/>
          <w:lang w:val="en-US"/>
        </w:rPr>
        <w:t>II</w:t>
      </w:r>
      <w:r>
        <w:rPr>
          <w:rFonts w:eastAsia="MingLiU;細明體" w:cs="Garamond" w:ascii="Garamond" w:hAnsi="Garamond"/>
          <w:sz w:val="24"/>
          <w:szCs w:val="24"/>
        </w:rPr>
        <w:t>]. В функции управления входило изучение ресурсов и экономического потенциала Южной Маньчжурии, а также культуры и обычаев коренных жителей. Одним из крупнейших направлений исследования стало все, что касалось отношений с Россией (позже с СССР). С расширением своей деятельности управление открыло отделения в Мукдене, в Северном и Центральном Китае и к 1940</w:t>
      </w:r>
      <w:r>
        <w:rPr>
          <w:rFonts w:eastAsia="MingLiU;細明體" w:cs="Garamond" w:ascii="Garamond" w:hAnsi="Garamond"/>
          <w:sz w:val="24"/>
          <w:szCs w:val="24"/>
          <w:lang w:val="en-US"/>
        </w:rPr>
        <w:t> </w:t>
      </w:r>
      <w:r>
        <w:rPr>
          <w:rFonts w:eastAsia="MingLiU;細明體" w:cs="Garamond" w:ascii="Garamond" w:hAnsi="Garamond"/>
          <w:sz w:val="24"/>
          <w:szCs w:val="24"/>
        </w:rPr>
        <w:t>г. насчитывало 2354 сотрудника. По заказу Квантунской армии в 1937</w:t>
      </w:r>
      <w:r>
        <w:rPr>
          <w:rFonts w:eastAsia="MingLiU;細明體" w:cs="Garamond" w:ascii="Garamond" w:hAnsi="Garamond"/>
          <w:sz w:val="24"/>
          <w:szCs w:val="24"/>
          <w:lang w:val="en-US"/>
        </w:rPr>
        <w:t> </w:t>
      </w:r>
      <w:r>
        <w:rPr>
          <w:rFonts w:eastAsia="MingLiU;細明體" w:cs="Garamond" w:ascii="Garamond" w:hAnsi="Garamond"/>
          <w:sz w:val="24"/>
          <w:szCs w:val="24"/>
        </w:rPr>
        <w:t xml:space="preserve">г. исследовательское управление разработало план индустриализации Маньчжурии [Батбаяр, 2002, </w:t>
      </w:r>
      <w:r>
        <w:rPr>
          <w:rFonts w:eastAsia="MingLiU;細明體" w:cs="Garamond" w:ascii="Garamond" w:hAnsi="Garamond"/>
          <w:sz w:val="24"/>
          <w:szCs w:val="24"/>
          <w:lang w:val="en-US"/>
        </w:rPr>
        <w:t>c</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43].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Большинство служащих </w:t>
      </w:r>
      <w:r>
        <w:rPr>
          <w:rFonts w:eastAsia="MingLiU;細明體" w:cs="Garamond" w:ascii="Garamond" w:hAnsi="Garamond"/>
          <w:i/>
          <w:sz w:val="24"/>
          <w:szCs w:val="24"/>
        </w:rPr>
        <w:t>мантэцу</w:t>
      </w:r>
      <w:r>
        <w:rPr>
          <w:rFonts w:eastAsia="MingLiU;細明體" w:cs="Garamond" w:ascii="Garamond" w:hAnsi="Garamond"/>
          <w:sz w:val="24"/>
          <w:szCs w:val="24"/>
        </w:rPr>
        <w:t xml:space="preserve"> происходили из японского чиновничества, в то время как основная масса работников более низкого уровня была набрана из низкооплачиваемого местного населения Северо-Восточного Китая [</w:t>
      </w:r>
      <w:r>
        <w:rPr>
          <w:rFonts w:eastAsia="MingLiU;細明體" w:cs="Garamond" w:ascii="Garamond" w:hAnsi="Garamond"/>
          <w:sz w:val="24"/>
          <w:szCs w:val="24"/>
          <w:lang w:val="en-US"/>
        </w:rPr>
        <w:t>Chen</w:t>
      </w:r>
      <w:r>
        <w:rPr>
          <w:rFonts w:eastAsia="MingLiU;細明體" w:cs="Garamond" w:ascii="Garamond" w:hAnsi="Garamond"/>
          <w:sz w:val="24"/>
          <w:szCs w:val="24"/>
        </w:rPr>
        <w:t xml:space="preserve">, 2015,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78]. В 1907</w:t>
      </w:r>
      <w:r>
        <w:rPr>
          <w:rFonts w:eastAsia="MingLiU;細明體" w:cs="Garamond" w:ascii="Garamond" w:hAnsi="Garamond"/>
          <w:sz w:val="24"/>
          <w:szCs w:val="24"/>
          <w:lang w:val="en-US"/>
        </w:rPr>
        <w:t> </w:t>
      </w:r>
      <w:r>
        <w:rPr>
          <w:rFonts w:eastAsia="MingLiU;細明體" w:cs="Garamond" w:ascii="Garamond" w:hAnsi="Garamond"/>
          <w:sz w:val="24"/>
          <w:szCs w:val="24"/>
        </w:rPr>
        <w:t>г. 9 тыс. японцев и 4 тыс. китайцев были приняты на службу в компанию, и к 1910 г. количество сотрудников увеличилось до 35 тыс. и 25 тыс. человек соответственно [</w:t>
      </w:r>
      <w:r>
        <w:rPr>
          <w:rFonts w:eastAsia="MingLiU;細明體" w:cs="Garamond" w:ascii="Garamond" w:hAnsi="Garamond"/>
          <w:sz w:val="24"/>
          <w:szCs w:val="24"/>
          <w:lang w:val="en-US"/>
        </w:rPr>
        <w:t>Noguchi</w:t>
      </w:r>
      <w:r>
        <w:rPr>
          <w:rFonts w:eastAsia="MingLiU;細明體" w:cs="Garamond" w:ascii="Garamond" w:hAnsi="Garamond"/>
          <w:sz w:val="24"/>
          <w:szCs w:val="24"/>
        </w:rPr>
        <w:t xml:space="preserve">, </w:t>
      </w:r>
      <w:r>
        <w:rPr>
          <w:rFonts w:eastAsia="MingLiU;細明體" w:cs="Garamond" w:ascii="Garamond" w:hAnsi="Garamond"/>
          <w:sz w:val="24"/>
          <w:szCs w:val="24"/>
          <w:lang w:val="en-US"/>
        </w:rPr>
        <w:t>Boyns</w:t>
      </w:r>
      <w:r>
        <w:rPr>
          <w:rFonts w:eastAsia="MingLiU;細明體" w:cs="Garamond" w:ascii="Garamond" w:hAnsi="Garamond"/>
          <w:sz w:val="24"/>
          <w:szCs w:val="24"/>
        </w:rPr>
        <w:t xml:space="preserve">, 2013,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4]</w:t>
      </w:r>
      <w:r>
        <w:rPr>
          <w:rStyle w:val="Style12"/>
          <w:rStyle w:val="Style20"/>
          <w:rFonts w:eastAsia="MingLiU;細明體" w:cs="Garamond" w:ascii="Garamond" w:hAnsi="Garamond"/>
          <w:sz w:val="24"/>
          <w:szCs w:val="24"/>
        </w:rPr>
        <w:footnoteReference w:id="10"/>
      </w:r>
      <w:r>
        <w:rPr>
          <w:rFonts w:eastAsia="MingLiU;細明體" w:cs="Garamond" w:ascii="Garamond" w:hAnsi="Garamond"/>
          <w:sz w:val="24"/>
          <w:szCs w:val="24"/>
        </w:rPr>
        <w:t>.</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Капитализация ЮМЖД составила 200 млн. иен, половина из этой суммы выделило японское правительство в виде железных дорог и угольных шахт, переданных Японии Россией по Портсмутскому договору после Русско-японской войны [РГАСПИ. Ф. 495. Оп. 127. Д. 56. Л. 49; Мияваки, Окада, 2013, с.</w:t>
      </w:r>
      <w:r>
        <w:rPr>
          <w:rFonts w:eastAsia="MingLiU;細明體" w:cs="Garamond" w:ascii="Garamond" w:hAnsi="Garamond"/>
          <w:sz w:val="24"/>
          <w:szCs w:val="24"/>
          <w:lang w:val="en-US"/>
        </w:rPr>
        <w:t> </w:t>
      </w:r>
      <w:r>
        <w:rPr>
          <w:rFonts w:eastAsia="MingLiU;細明體" w:cs="Garamond" w:ascii="Garamond" w:hAnsi="Garamond"/>
          <w:sz w:val="24"/>
          <w:szCs w:val="24"/>
        </w:rPr>
        <w:t>102]. Вплоть до 1914 г. финансирование осуществлялось за счет японского правительства и выпущенных из-за рубежа корпоративных облигаций, на долю которых в совокупности приходилось около 85,6 % общего финансирования компании [</w:t>
      </w:r>
      <w:r>
        <w:rPr>
          <w:rFonts w:eastAsia="MingLiU;細明體" w:cs="Garamond" w:ascii="Garamond" w:hAnsi="Garamond"/>
          <w:sz w:val="24"/>
          <w:szCs w:val="24"/>
          <w:lang w:val="en-US"/>
        </w:rPr>
        <w:t>Chen</w:t>
      </w:r>
      <w:r>
        <w:rPr>
          <w:rFonts w:eastAsia="MingLiU;細明體" w:cs="Garamond" w:ascii="Garamond" w:hAnsi="Garamond"/>
          <w:sz w:val="24"/>
          <w:szCs w:val="24"/>
        </w:rPr>
        <w:t xml:space="preserve">, 2015,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77]. К 1920 г. капитализация компании увеличилась на 240 млн. иен и составила 440 млн. иен (220 млн. долларов) [</w:t>
      </w:r>
      <w:r>
        <w:rPr>
          <w:rFonts w:eastAsia="MingLiU;細明體" w:cs="Garamond" w:ascii="Garamond" w:hAnsi="Garamond"/>
          <w:sz w:val="24"/>
          <w:szCs w:val="24"/>
          <w:lang w:val="en-US"/>
        </w:rPr>
        <w:t>Adachi</w:t>
      </w:r>
      <w:r>
        <w:rPr>
          <w:rFonts w:eastAsia="MingLiU;細明體" w:cs="Garamond" w:ascii="Garamond" w:hAnsi="Garamond"/>
          <w:sz w:val="24"/>
          <w:szCs w:val="24"/>
        </w:rPr>
        <w:t xml:space="preserve">, 1925, </w:t>
      </w:r>
      <w:r>
        <w:rPr>
          <w:rStyle w:val="Appleconvertedspace"/>
          <w:rFonts w:eastAsia="MingLiU;細明體" w:cs="Garamond" w:ascii="Garamond" w:hAnsi="Garamond"/>
          <w:sz w:val="24"/>
          <w:szCs w:val="24"/>
          <w:lang w:val="en-US"/>
        </w:rPr>
        <w:t>p</w:t>
      </w:r>
      <w:r>
        <w:rPr>
          <w:rStyle w:val="Appleconvertedspace"/>
          <w:rFonts w:eastAsia="MingLiU;細明體" w:cs="Garamond" w:ascii="Garamond" w:hAnsi="Garamond"/>
          <w:sz w:val="24"/>
          <w:szCs w:val="24"/>
        </w:rPr>
        <w:t>.</w:t>
      </w:r>
      <w:r>
        <w:rPr>
          <w:rStyle w:val="Appleconvertedspace"/>
          <w:rFonts w:eastAsia="MingLiU;細明體" w:cs="Garamond" w:ascii="Garamond" w:hAnsi="Garamond"/>
          <w:sz w:val="24"/>
          <w:szCs w:val="24"/>
          <w:lang w:val="en-US"/>
        </w:rPr>
        <w:t> </w:t>
      </w:r>
      <w:r>
        <w:rPr>
          <w:rStyle w:val="Appleconvertedspace"/>
          <w:rFonts w:eastAsia="MingLiU;細明體" w:cs="Garamond" w:ascii="Garamond" w:hAnsi="Garamond"/>
          <w:sz w:val="24"/>
          <w:szCs w:val="24"/>
        </w:rPr>
        <w:t>114];</w:t>
      </w:r>
      <w:r>
        <w:rPr>
          <w:rFonts w:eastAsia="MingLiU;細明體" w:cs="Garamond" w:ascii="Garamond" w:hAnsi="Garamond"/>
          <w:sz w:val="24"/>
          <w:szCs w:val="24"/>
        </w:rPr>
        <w:t xml:space="preserve"> в конце 1920-х — начале 1930-х гг. — 670 млн. иен и давала прибыль более 42 млн. иен в год [Тульский, Матросов, 1932, с. 12]; в 1933 г. — 800 млн. иен при прежнем соотношении государственного и частного [Молодяков, 2006б, с.</w:t>
      </w:r>
      <w:r>
        <w:rPr>
          <w:rFonts w:eastAsia="MingLiU;細明體" w:cs="Garamond" w:ascii="Garamond" w:hAnsi="Garamond"/>
          <w:sz w:val="24"/>
          <w:szCs w:val="24"/>
          <w:lang w:val="en-US"/>
        </w:rPr>
        <w:t> </w:t>
      </w:r>
      <w:r>
        <w:rPr>
          <w:rFonts w:eastAsia="MingLiU;細明體" w:cs="Garamond" w:ascii="Garamond" w:hAnsi="Garamond"/>
          <w:sz w:val="24"/>
          <w:szCs w:val="24"/>
        </w:rPr>
        <w:t xml:space="preserve">355]. Крупнейшие японские </w:t>
      </w:r>
      <w:r>
        <w:rPr>
          <w:rFonts w:eastAsia="MingLiU;細明體" w:cs="Garamond" w:ascii="Garamond" w:hAnsi="Garamond"/>
          <w:i/>
          <w:sz w:val="24"/>
          <w:szCs w:val="24"/>
        </w:rPr>
        <w:t>дзайбацу</w:t>
      </w:r>
      <w:r>
        <w:rPr>
          <w:rFonts w:eastAsia="MingLiU;細明體" w:cs="Garamond" w:ascii="Garamond" w:hAnsi="Garamond"/>
          <w:sz w:val="24"/>
          <w:szCs w:val="24"/>
        </w:rPr>
        <w:t xml:space="preserve"> «Мицуи», «Мицубиси», «Сумитомо» и «Ясуда» являлись обладателями акций </w:t>
      </w:r>
      <w:r>
        <w:rPr>
          <w:rFonts w:eastAsia="MingLiU;細明體" w:cs="Garamond" w:ascii="Garamond" w:hAnsi="Garamond"/>
          <w:i/>
          <w:sz w:val="24"/>
          <w:szCs w:val="24"/>
        </w:rPr>
        <w:t xml:space="preserve">мантэцу </w:t>
      </w:r>
      <w:r>
        <w:rPr>
          <w:rFonts w:eastAsia="MingLiU;細明體" w:cs="Garamond" w:ascii="Garamond" w:hAnsi="Garamond"/>
          <w:sz w:val="24"/>
          <w:szCs w:val="24"/>
        </w:rPr>
        <w:t>[</w:t>
      </w:r>
      <w:r>
        <w:rPr>
          <w:rStyle w:val="Citation"/>
          <w:rFonts w:eastAsia="MingLiU;細明體" w:cs="Garamond" w:ascii="Garamond" w:hAnsi="Garamond"/>
          <w:sz w:val="24"/>
          <w:szCs w:val="24"/>
        </w:rPr>
        <w:t>Захарова, 1990,</w:t>
      </w:r>
      <w:r>
        <w:rPr>
          <w:rFonts w:eastAsia="MingLiU;細明體" w:cs="Garamond" w:ascii="Garamond" w:hAnsi="Garamond"/>
          <w:sz w:val="24"/>
          <w:szCs w:val="24"/>
        </w:rPr>
        <w:t xml:space="preserve"> с.</w:t>
      </w:r>
      <w:r>
        <w:rPr>
          <w:rFonts w:eastAsia="MingLiU;細明體" w:cs="Garamond" w:ascii="Garamond" w:hAnsi="Garamond"/>
          <w:sz w:val="24"/>
          <w:szCs w:val="24"/>
          <w:lang w:val="en-US"/>
        </w:rPr>
        <w:t> </w:t>
      </w:r>
      <w:r>
        <w:rPr>
          <w:rFonts w:eastAsia="MingLiU;細明體" w:cs="Garamond" w:ascii="Garamond" w:hAnsi="Garamond"/>
          <w:sz w:val="24"/>
          <w:szCs w:val="24"/>
        </w:rPr>
        <w:t>61], а компания стала основным каналом проникновения сюда японского капитала [Досовицкая, 2014, с. 30].</w:t>
      </w:r>
    </w:p>
    <w:p>
      <w:pPr>
        <w:pStyle w:val="Normal"/>
        <w:ind w:end="-31" w:firstLine="720"/>
        <w:jc w:val="both"/>
        <w:rPr/>
      </w:pPr>
      <w:r>
        <w:rPr>
          <w:rFonts w:eastAsia="MingLiU;細明體" w:cs="Garamond" w:ascii="Garamond" w:hAnsi="Garamond"/>
          <w:sz w:val="24"/>
          <w:szCs w:val="24"/>
        </w:rPr>
        <w:t xml:space="preserve">Основную деятельность </w:t>
      </w:r>
      <w:r>
        <w:rPr>
          <w:rFonts w:eastAsia="MingLiU;細明體" w:cs="Garamond" w:ascii="Garamond" w:hAnsi="Garamond"/>
          <w:i/>
          <w:sz w:val="24"/>
          <w:szCs w:val="24"/>
        </w:rPr>
        <w:t>мантэцу</w:t>
      </w:r>
      <w:r>
        <w:rPr>
          <w:rFonts w:eastAsia="MingLiU;細明體" w:cs="Garamond" w:ascii="Garamond" w:hAnsi="Garamond"/>
          <w:sz w:val="24"/>
          <w:szCs w:val="24"/>
        </w:rPr>
        <w:t xml:space="preserve"> можно разделить на следующие категории — непосредственно железнодорожные перевозки, т. н. «побочный бизнес» для поддержания функционирования железных дорог, например, железнодорожные мастерские [Мияваки, 2010,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166–167], а также ряд ключевых промышленных предприятий, рудников и шахт, лесные и земельные угодья, гостиницы и портовая инфраструктура. Среди активов особенно выделялись знаменитые Фушуньские угольные копи. Важное место также занимали порт Дальний, служивший перевалочной базой для вывоза японских товаров на материк, железные рудники (в Аншане), газовые лесопильные заводы, доменные печи и т. д.</w:t>
      </w:r>
    </w:p>
    <w:p>
      <w:pPr>
        <w:pStyle w:val="Normal"/>
        <w:ind w:end="-31" w:firstLine="720"/>
        <w:jc w:val="both"/>
        <w:rPr/>
      </w:pPr>
      <w:r>
        <w:rPr>
          <w:rFonts w:eastAsia="MingLiU;細明體" w:cs="Garamond" w:ascii="Garamond" w:hAnsi="Garamond"/>
          <w:sz w:val="24"/>
          <w:szCs w:val="24"/>
        </w:rPr>
        <w:t>Еще до «Маньчжурского инцидента» 1931 г.</w:t>
      </w:r>
      <w:r>
        <w:rPr>
          <w:rStyle w:val="Style12"/>
          <w:rStyle w:val="Style20"/>
          <w:rFonts w:eastAsia="MingLiU;細明體" w:cs="Garamond" w:ascii="Garamond" w:hAnsi="Garamond"/>
          <w:sz w:val="24"/>
          <w:szCs w:val="24"/>
        </w:rPr>
        <w:footnoteReference w:id="11"/>
      </w:r>
      <w:r>
        <w:rPr>
          <w:rFonts w:eastAsia="MingLiU;細明體" w:cs="Garamond" w:ascii="Garamond" w:hAnsi="Garamond"/>
          <w:sz w:val="24"/>
          <w:szCs w:val="24"/>
        </w:rPr>
        <w:t xml:space="preserve"> в систему </w:t>
      </w:r>
      <w:r>
        <w:rPr>
          <w:rFonts w:eastAsia="MingLiU;細明體" w:cs="Garamond" w:ascii="Garamond" w:hAnsi="Garamond"/>
          <w:i/>
          <w:sz w:val="24"/>
          <w:szCs w:val="24"/>
        </w:rPr>
        <w:t>мантэцу</w:t>
      </w:r>
      <w:r>
        <w:rPr>
          <w:rFonts w:eastAsia="MingLiU;細明體" w:cs="Garamond" w:ascii="Garamond" w:hAnsi="Garamond"/>
          <w:sz w:val="24"/>
          <w:szCs w:val="24"/>
        </w:rPr>
        <w:t xml:space="preserve"> входили около 20 компаний с капиталом более 1 млн. иен каждая, включая Фушуньские копи и Дайренское морское пароходство. И уже к 1938 г. число аффилированных компаний дошло до 80 [Молодяков, 2006б, с. 356]. </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Угольные шахты в Фушуне, по некоторым оценкам, были известны еще с ХII в., но добыча угля не разрешалась, так как по традиционным представлениям входила в противоречие с законами </w:t>
      </w:r>
      <w:r>
        <w:rPr>
          <w:rFonts w:eastAsia="MingLiU;細明體" w:cs="Garamond" w:ascii="Garamond" w:hAnsi="Garamond"/>
          <w:i/>
          <w:sz w:val="24"/>
          <w:szCs w:val="24"/>
        </w:rPr>
        <w:t>фэншуй</w:t>
      </w:r>
      <w:r>
        <w:rPr>
          <w:rFonts w:eastAsia="MingLiU;細明體" w:cs="Garamond" w:ascii="Garamond" w:hAnsi="Garamond"/>
          <w:sz w:val="24"/>
          <w:szCs w:val="24"/>
        </w:rPr>
        <w:t xml:space="preserve">. В начале ХХ в. копи в небольших масштабах использовались Российской империей, но в крупных масштабах добыча угля началась лишь после 1907 г., когда эти земли были переданы в пользование </w:t>
      </w:r>
      <w:r>
        <w:rPr>
          <w:rFonts w:eastAsia="MingLiU;細明體" w:cs="Garamond" w:ascii="Garamond" w:hAnsi="Garamond"/>
          <w:i/>
          <w:sz w:val="24"/>
          <w:szCs w:val="24"/>
        </w:rPr>
        <w:t>мантэцу</w:t>
      </w:r>
      <w:r>
        <w:rPr>
          <w:rFonts w:eastAsia="MingLiU;細明體" w:cs="Garamond" w:ascii="Garamond" w:hAnsi="Garamond"/>
          <w:sz w:val="24"/>
          <w:szCs w:val="24"/>
        </w:rPr>
        <w:t>. Так, если раньше в Фушуне добывалось 360 т угля в день, то после первого расширения шахт в 1912 г. компания стала получать 5</w:t>
      </w:r>
      <w:r>
        <w:rPr>
          <w:rFonts w:eastAsia="MingLiU;細明體" w:cs="Garamond" w:ascii="Garamond" w:hAnsi="Garamond"/>
          <w:sz w:val="24"/>
          <w:szCs w:val="24"/>
          <w:lang w:val="en-US"/>
        </w:rPr>
        <w:t> </w:t>
      </w:r>
      <w:r>
        <w:rPr>
          <w:rFonts w:eastAsia="MingLiU;細明體" w:cs="Garamond" w:ascii="Garamond" w:hAnsi="Garamond"/>
          <w:sz w:val="24"/>
          <w:szCs w:val="24"/>
        </w:rPr>
        <w:t>тыс. т ежедневно [</w:t>
      </w:r>
      <w:r>
        <w:rPr>
          <w:rFonts w:eastAsia="MingLiU;細明體" w:cs="Garamond" w:ascii="Garamond" w:hAnsi="Garamond"/>
          <w:sz w:val="24"/>
          <w:szCs w:val="24"/>
          <w:lang w:val="en-US"/>
        </w:rPr>
        <w:t>Manchuria</w:t>
      </w:r>
      <w:r>
        <w:rPr>
          <w:rFonts w:eastAsia="MingLiU;細明體" w:cs="Garamond" w:ascii="Garamond" w:hAnsi="Garamond"/>
          <w:sz w:val="24"/>
          <w:szCs w:val="24"/>
        </w:rPr>
        <w:t xml:space="preserve">, 1924, </w:t>
      </w:r>
      <w:r>
        <w:rPr>
          <w:rStyle w:val="Style19"/>
          <w:rFonts w:eastAsia="MingLiU;細明體" w:cs="Garamond" w:ascii="Garamond" w:hAnsi="Garamond"/>
          <w:b w:val="false"/>
          <w:sz w:val="24"/>
          <w:szCs w:val="24"/>
          <w:lang w:val="en-US"/>
        </w:rPr>
        <w:t>p</w:t>
      </w:r>
      <w:r>
        <w:rPr>
          <w:rStyle w:val="Style19"/>
          <w:rFonts w:eastAsia="MingLiU;細明體" w:cs="Garamond" w:ascii="Garamond" w:hAnsi="Garamond"/>
          <w:b w:val="false"/>
          <w:sz w:val="24"/>
          <w:szCs w:val="24"/>
        </w:rPr>
        <w:t>.</w:t>
      </w:r>
      <w:r>
        <w:rPr>
          <w:rStyle w:val="Style19"/>
          <w:rFonts w:eastAsia="MingLiU;細明體" w:cs="Garamond" w:ascii="Garamond" w:hAnsi="Garamond"/>
          <w:b w:val="false"/>
          <w:sz w:val="24"/>
          <w:szCs w:val="24"/>
          <w:lang w:val="en-US"/>
        </w:rPr>
        <w:t> </w:t>
      </w:r>
      <w:r>
        <w:rPr>
          <w:rStyle w:val="Style19"/>
          <w:rFonts w:eastAsia="MingLiU;細明體" w:cs="Garamond" w:ascii="Garamond" w:hAnsi="Garamond"/>
          <w:b w:val="false"/>
          <w:sz w:val="24"/>
          <w:szCs w:val="24"/>
        </w:rPr>
        <w:t>27–30]</w:t>
      </w:r>
      <w:r>
        <w:rPr>
          <w:rFonts w:eastAsia="MingLiU;細明體" w:cs="Garamond" w:ascii="Garamond" w:hAnsi="Garamond"/>
          <w:sz w:val="24"/>
          <w:szCs w:val="24"/>
        </w:rPr>
        <w:t>, в 1927 г. уже планировалось увеличить добычу с 6,5 до 10</w:t>
      </w:r>
      <w:r>
        <w:rPr>
          <w:rFonts w:eastAsia="MingLiU;細明體" w:cs="Garamond" w:ascii="Garamond" w:hAnsi="Garamond"/>
          <w:sz w:val="24"/>
          <w:szCs w:val="24"/>
          <w:lang w:val="en-US"/>
        </w:rPr>
        <w:t> </w:t>
      </w:r>
      <w:r>
        <w:rPr>
          <w:rFonts w:eastAsia="MingLiU;細明體" w:cs="Garamond" w:ascii="Garamond" w:hAnsi="Garamond"/>
          <w:sz w:val="24"/>
          <w:szCs w:val="24"/>
        </w:rPr>
        <w:t>млн.</w:t>
      </w:r>
      <w:r>
        <w:rPr>
          <w:rFonts w:eastAsia="MingLiU;細明體" w:cs="Garamond" w:ascii="Garamond" w:hAnsi="Garamond"/>
          <w:sz w:val="24"/>
          <w:szCs w:val="24"/>
          <w:lang w:val="en-US"/>
        </w:rPr>
        <w:t> </w:t>
      </w:r>
      <w:r>
        <w:rPr>
          <w:rFonts w:eastAsia="MingLiU;細明體" w:cs="Garamond" w:ascii="Garamond" w:hAnsi="Garamond"/>
          <w:sz w:val="24"/>
          <w:szCs w:val="24"/>
        </w:rPr>
        <w:t>т в год [РГАСПИ. Ф. 495. Оп. 127. Д. 183. Л. 117], и к 1931 г. объем добычи угля достиг 9,5</w:t>
      </w:r>
      <w:r>
        <w:rPr>
          <w:rFonts w:eastAsia="MingLiU;細明體" w:cs="Garamond" w:ascii="Garamond" w:hAnsi="Garamond"/>
          <w:sz w:val="24"/>
          <w:szCs w:val="24"/>
          <w:lang w:val="en-US"/>
        </w:rPr>
        <w:t> </w:t>
      </w:r>
      <w:r>
        <w:rPr>
          <w:rFonts w:eastAsia="MingLiU;細明體" w:cs="Garamond" w:ascii="Garamond" w:hAnsi="Garamond"/>
          <w:sz w:val="24"/>
          <w:szCs w:val="24"/>
        </w:rPr>
        <w:t>млн. т, а к концу Второй мировой войны — не менее 25 млн. т [Раппорот, 1945. с.</w:t>
      </w:r>
      <w:r>
        <w:rPr>
          <w:rFonts w:eastAsia="MingLiU;細明體" w:cs="Garamond" w:ascii="Garamond" w:hAnsi="Garamond"/>
          <w:sz w:val="24"/>
          <w:szCs w:val="24"/>
          <w:lang w:val="en-US"/>
        </w:rPr>
        <w:t> </w:t>
      </w:r>
      <w:r>
        <w:rPr>
          <w:rFonts w:eastAsia="MingLiU;細明體" w:cs="Garamond" w:ascii="Garamond" w:hAnsi="Garamond"/>
          <w:sz w:val="24"/>
          <w:szCs w:val="24"/>
        </w:rPr>
        <w:t>8]. Запасы угля в Фушуне оценивались в 1 млрд. 200 млн. т [</w:t>
      </w:r>
      <w:r>
        <w:rPr>
          <w:rFonts w:eastAsia="MingLiU;細明體" w:cs="Garamond" w:ascii="Garamond" w:hAnsi="Garamond"/>
          <w:sz w:val="24"/>
          <w:szCs w:val="24"/>
          <w:lang w:val="en-US"/>
        </w:rPr>
        <w:t>Adachi</w:t>
      </w:r>
      <w:r>
        <w:rPr>
          <w:rFonts w:eastAsia="MingLiU;細明體" w:cs="Garamond" w:ascii="Garamond" w:hAnsi="Garamond"/>
          <w:sz w:val="24"/>
          <w:szCs w:val="24"/>
        </w:rPr>
        <w:t xml:space="preserve">, 1925, </w:t>
      </w:r>
      <w:r>
        <w:rPr>
          <w:rFonts w:eastAsia="MingLiU;細明體" w:cs="Garamond" w:ascii="Garamond" w:hAnsi="Garamond"/>
          <w:sz w:val="24"/>
          <w:szCs w:val="24"/>
          <w:lang w:val="en-US"/>
        </w:rPr>
        <w:t>p</w:t>
      </w:r>
      <w:r>
        <w:rPr>
          <w:rStyle w:val="Appleconvertedspace"/>
          <w:rFonts w:eastAsia="MingLiU;細明體" w:cs="Garamond" w:ascii="Garamond" w:hAnsi="Garamond"/>
          <w:sz w:val="24"/>
          <w:szCs w:val="24"/>
        </w:rPr>
        <w:t>.</w:t>
      </w:r>
      <w:r>
        <w:rPr>
          <w:rStyle w:val="Appleconvertedspace"/>
          <w:rFonts w:eastAsia="MingLiU;細明體" w:cs="Garamond" w:ascii="Garamond" w:hAnsi="Garamond"/>
          <w:sz w:val="24"/>
          <w:szCs w:val="24"/>
          <w:lang w:val="en-US"/>
        </w:rPr>
        <w:t> </w:t>
      </w:r>
      <w:r>
        <w:rPr>
          <w:rStyle w:val="Appleconvertedspace"/>
          <w:rFonts w:eastAsia="MingLiU;細明體" w:cs="Garamond" w:ascii="Garamond" w:hAnsi="Garamond"/>
          <w:sz w:val="24"/>
          <w:szCs w:val="24"/>
        </w:rPr>
        <w:t>114</w:t>
      </w:r>
      <w:r>
        <w:rPr>
          <w:rFonts w:eastAsia="MingLiU;細明體" w:cs="Garamond" w:ascii="Garamond" w:hAnsi="Garamond"/>
          <w:sz w:val="24"/>
          <w:szCs w:val="24"/>
        </w:rPr>
        <w:t>].</w:t>
      </w:r>
    </w:p>
    <w:p>
      <w:pPr>
        <w:pStyle w:val="Normal"/>
        <w:ind w:end="-31" w:firstLine="720"/>
        <w:jc w:val="both"/>
        <w:rPr/>
      </w:pPr>
      <w:r>
        <w:rPr>
          <w:rFonts w:eastAsia="MingLiU;細明體" w:cs="Garamond" w:ascii="Garamond" w:hAnsi="Garamond"/>
          <w:sz w:val="24"/>
          <w:szCs w:val="24"/>
        </w:rPr>
        <w:t xml:space="preserve">Изначально вся </w:t>
      </w:r>
      <w:r>
        <w:rPr>
          <w:rFonts w:eastAsia="MingLiU;細明體" w:cs="Garamond" w:ascii="Garamond" w:hAnsi="Garamond"/>
          <w:i/>
          <w:sz w:val="24"/>
          <w:szCs w:val="24"/>
        </w:rPr>
        <w:t>мантэцу</w:t>
      </w:r>
      <w:r>
        <w:rPr>
          <w:rFonts w:eastAsia="MingLiU;細明體" w:cs="Garamond" w:ascii="Garamond" w:hAnsi="Garamond"/>
          <w:sz w:val="24"/>
          <w:szCs w:val="24"/>
        </w:rPr>
        <w:t xml:space="preserve">, являясь южной частью КВЖД, была построена с русской колеей (1524 мм), но после войны японцы перевели дорогу на стандартную (1435 мм), чтобы соединить ЮМЖД с другими железными дорогами Китая. Благодаря этим мерам </w:t>
      </w:r>
      <w:r>
        <w:rPr>
          <w:rFonts w:eastAsia="MingLiU;細明體" w:cs="Garamond" w:ascii="Garamond" w:hAnsi="Garamond"/>
          <w:i/>
          <w:sz w:val="24"/>
          <w:szCs w:val="24"/>
        </w:rPr>
        <w:t>мантэцу</w:t>
      </w:r>
      <w:r>
        <w:rPr>
          <w:rFonts w:eastAsia="MingLiU;細明體" w:cs="Garamond" w:ascii="Garamond" w:hAnsi="Garamond"/>
          <w:sz w:val="24"/>
          <w:szCs w:val="24"/>
        </w:rPr>
        <w:t xml:space="preserve"> смогла приступить к развитию сети железных дорог довольно быстро [</w:t>
      </w:r>
      <w:r>
        <w:rPr>
          <w:rFonts w:eastAsia="MingLiU;細明體" w:cs="Garamond" w:ascii="Garamond" w:hAnsi="Garamond"/>
          <w:sz w:val="24"/>
          <w:szCs w:val="24"/>
          <w:lang w:val="en-US"/>
        </w:rPr>
        <w:t>Noguchi</w:t>
      </w:r>
      <w:r>
        <w:rPr>
          <w:rFonts w:eastAsia="MingLiU;細明體" w:cs="Garamond" w:ascii="Garamond" w:hAnsi="Garamond"/>
          <w:sz w:val="24"/>
          <w:szCs w:val="24"/>
        </w:rPr>
        <w:t xml:space="preserve">, </w:t>
      </w:r>
      <w:r>
        <w:rPr>
          <w:rFonts w:eastAsia="MingLiU;細明體" w:cs="Garamond" w:ascii="Garamond" w:hAnsi="Garamond"/>
          <w:sz w:val="24"/>
          <w:szCs w:val="24"/>
          <w:lang w:val="en-US"/>
        </w:rPr>
        <w:t>Boyns</w:t>
      </w:r>
      <w:r>
        <w:rPr>
          <w:rFonts w:eastAsia="MingLiU;細明體" w:cs="Garamond" w:ascii="Garamond" w:hAnsi="Garamond"/>
          <w:sz w:val="24"/>
          <w:szCs w:val="24"/>
        </w:rPr>
        <w:t xml:space="preserve">, 2013,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4]. Стали появляться склады для хранения грузов, портовые сооружения и ремонтные мастерские для локомотивов. </w:t>
      </w:r>
    </w:p>
    <w:p>
      <w:pPr>
        <w:pStyle w:val="Normal"/>
        <w:ind w:end="-31" w:firstLine="720"/>
        <w:jc w:val="both"/>
        <w:rPr/>
      </w:pPr>
      <w:r>
        <w:rPr>
          <w:rFonts w:eastAsia="MingLiU;細明體" w:cs="Garamond" w:ascii="Garamond" w:hAnsi="Garamond"/>
          <w:i/>
          <w:sz w:val="24"/>
          <w:szCs w:val="24"/>
        </w:rPr>
        <w:t>Мантэцу</w:t>
      </w:r>
      <w:r>
        <w:rPr>
          <w:rFonts w:eastAsia="MingLiU;細明體" w:cs="Garamond" w:ascii="Garamond" w:hAnsi="Garamond"/>
          <w:sz w:val="24"/>
          <w:szCs w:val="24"/>
        </w:rPr>
        <w:t xml:space="preserve"> контролировала не только магистральную линию, соединяющую Чанчунь и Порт-Артур. В 1911 г. было завершено строительство железнодорожной ветки от Фэнтяня (Мукден, совр. Шэньян) до Андона (совр. Даньдун) на границе реки Ялу, где </w:t>
      </w:r>
      <w:r>
        <w:rPr>
          <w:rFonts w:eastAsia="MingLiU;細明體" w:cs="Garamond" w:ascii="Garamond" w:hAnsi="Garamond"/>
          <w:i/>
          <w:sz w:val="24"/>
          <w:szCs w:val="24"/>
        </w:rPr>
        <w:t>мантэцу</w:t>
      </w:r>
      <w:r>
        <w:rPr>
          <w:rFonts w:eastAsia="MingLiU;細明體" w:cs="Garamond" w:ascii="Garamond" w:hAnsi="Garamond"/>
          <w:sz w:val="24"/>
          <w:szCs w:val="24"/>
        </w:rPr>
        <w:t xml:space="preserve"> соединялась с управляемой японцами корейской железнодорожной системой и портом Пусан. Таким образом, была создана единая транспортная сеть, способствовавшая развитию экономики регионов и усилению связи с метрополией, а в случае необходимости позволявшая оперативно перебрасывать войска. Многие политики надеялись, что маршрут Пусан–Андон–Фэнтянь в конечном счете вытеснит маршрут из Порт-Артура [</w:t>
      </w:r>
      <w:r>
        <w:rPr>
          <w:rFonts w:eastAsia="MingLiU;細明體" w:cs="Garamond" w:ascii="Garamond" w:hAnsi="Garamond"/>
          <w:sz w:val="24"/>
          <w:szCs w:val="24"/>
          <w:lang w:val="en-US"/>
        </w:rPr>
        <w:t>Matsusaka</w:t>
      </w:r>
      <w:r>
        <w:rPr>
          <w:rFonts w:eastAsia="MingLiU;細明體" w:cs="Garamond" w:ascii="Garamond" w:hAnsi="Garamond"/>
          <w:sz w:val="24"/>
          <w:szCs w:val="24"/>
        </w:rPr>
        <w:t xml:space="preserve">, 2010, </w:t>
      </w:r>
      <w:r>
        <w:rPr>
          <w:rFonts w:eastAsia="MingLiU;細明體" w:cs="Garamond" w:ascii="Garamond" w:hAnsi="Garamond"/>
          <w:sz w:val="24"/>
          <w:szCs w:val="24"/>
          <w:lang w:val="en-US"/>
        </w:rPr>
        <w:t>p</w:t>
      </w:r>
      <w:r>
        <w:rPr>
          <w:rFonts w:eastAsia="MingLiU;細明體" w:cs="Garamond" w:ascii="Garamond" w:hAnsi="Garamond"/>
          <w:sz w:val="24"/>
          <w:szCs w:val="24"/>
        </w:rPr>
        <w:t>.</w:t>
      </w:r>
      <w:r>
        <w:rPr>
          <w:rFonts w:eastAsia="MingLiU;細明體" w:cs="Garamond" w:ascii="Garamond" w:hAnsi="Garamond"/>
          <w:sz w:val="24"/>
          <w:szCs w:val="24"/>
          <w:lang w:val="en-US"/>
        </w:rPr>
        <w:t> </w:t>
      </w:r>
      <w:r>
        <w:rPr>
          <w:rFonts w:eastAsia="MingLiU;細明體" w:cs="Garamond" w:ascii="Garamond" w:hAnsi="Garamond"/>
          <w:sz w:val="24"/>
          <w:szCs w:val="24"/>
        </w:rPr>
        <w:t xml:space="preserve">38]. </w:t>
      </w:r>
    </w:p>
    <w:p>
      <w:pPr>
        <w:pStyle w:val="Normal"/>
        <w:ind w:end="-31" w:firstLine="720"/>
        <w:jc w:val="both"/>
        <w:rPr/>
      </w:pPr>
      <w:r>
        <w:rPr>
          <w:rFonts w:eastAsia="MingLiU;細明體" w:cs="Garamond" w:ascii="Garamond" w:hAnsi="Garamond"/>
          <w:sz w:val="24"/>
          <w:szCs w:val="24"/>
        </w:rPr>
        <w:t xml:space="preserve">Железнодорожная сеть, контролируемая </w:t>
      </w:r>
      <w:r>
        <w:rPr>
          <w:rFonts w:eastAsia="MingLiU;細明體" w:cs="Garamond" w:ascii="Garamond" w:hAnsi="Garamond"/>
          <w:i/>
          <w:sz w:val="24"/>
          <w:szCs w:val="24"/>
        </w:rPr>
        <w:t>мантэцу</w:t>
      </w:r>
      <w:r>
        <w:rPr>
          <w:rFonts w:eastAsia="MingLiU;細明體" w:cs="Garamond" w:ascii="Garamond" w:hAnsi="Garamond"/>
          <w:sz w:val="24"/>
          <w:szCs w:val="24"/>
        </w:rPr>
        <w:t>, не сильно изменилась с 1906 по 1931 гг., т. к. в этот период в основном развивались промышленность, сельское хозяйство и торговля. И только после Маньчжурского инцидента и основания Маньчжоу-го в 1932 г. протяженность дорог выросла с 5,6 тыс. км в 1931 г. до 13 тыс. км в 1945 г. [</w:t>
      </w:r>
      <w:r>
        <w:rPr>
          <w:rStyle w:val="Style18"/>
          <w:rFonts w:eastAsia="MingLiU;細明體" w:cs="Garamond" w:ascii="Garamond" w:hAnsi="Garamond"/>
          <w:sz w:val="24"/>
          <w:szCs w:val="24"/>
          <w:lang w:val="en-US"/>
        </w:rPr>
        <w:t>Ginsburg</w:t>
      </w:r>
      <w:r>
        <w:rPr>
          <w:rStyle w:val="Style18"/>
          <w:rFonts w:eastAsia="MingLiU;細明體" w:cs="Garamond" w:ascii="Garamond" w:hAnsi="Garamond"/>
          <w:sz w:val="24"/>
          <w:szCs w:val="24"/>
        </w:rPr>
        <w:t xml:space="preserve">, 1949, </w:t>
      </w:r>
      <w:r>
        <w:rPr>
          <w:rStyle w:val="Style18"/>
          <w:rFonts w:eastAsia="MingLiU;細明體" w:cs="Garamond" w:ascii="Garamond" w:hAnsi="Garamond"/>
          <w:sz w:val="24"/>
          <w:szCs w:val="24"/>
          <w:lang w:val="en-US"/>
        </w:rPr>
        <w:t>p</w:t>
      </w:r>
      <w:r>
        <w:rPr>
          <w:rStyle w:val="Style18"/>
          <w:rFonts w:eastAsia="MingLiU;細明體" w:cs="Garamond" w:ascii="Garamond" w:hAnsi="Garamond"/>
          <w:sz w:val="24"/>
          <w:szCs w:val="24"/>
        </w:rPr>
        <w:t>.</w:t>
      </w:r>
      <w:r>
        <w:rPr>
          <w:rStyle w:val="Style18"/>
          <w:rFonts w:eastAsia="MingLiU;細明體" w:cs="Garamond" w:ascii="Garamond" w:hAnsi="Garamond"/>
          <w:sz w:val="24"/>
          <w:szCs w:val="24"/>
          <w:lang w:val="en-US"/>
        </w:rPr>
        <w:t> </w:t>
      </w:r>
      <w:r>
        <w:rPr>
          <w:rStyle w:val="Style18"/>
          <w:rFonts w:eastAsia="MingLiU;細明體" w:cs="Garamond" w:ascii="Garamond" w:hAnsi="Garamond"/>
          <w:sz w:val="24"/>
          <w:szCs w:val="24"/>
        </w:rPr>
        <w:t>398</w:t>
      </w:r>
      <w:r>
        <w:rPr>
          <w:rFonts w:eastAsia="MingLiU;細明體" w:cs="Garamond" w:ascii="Garamond" w:hAnsi="Garamond"/>
          <w:sz w:val="24"/>
          <w:szCs w:val="24"/>
        </w:rPr>
        <w:t>].</w:t>
      </w:r>
    </w:p>
    <w:p>
      <w:pPr>
        <w:pStyle w:val="Normal"/>
        <w:ind w:end="-31" w:firstLine="720"/>
        <w:jc w:val="both"/>
        <w:rPr>
          <w:rFonts w:ascii="Garamond" w:hAnsi="Garamond" w:eastAsia="MingLiU;細明體" w:cs="Garamond"/>
          <w:sz w:val="24"/>
          <w:szCs w:val="24"/>
        </w:rPr>
      </w:pPr>
      <w:r>
        <w:rPr>
          <w:rFonts w:eastAsia="MingLiU;細明體" w:cs="Garamond" w:ascii="Garamond" w:hAnsi="Garamond"/>
          <w:sz w:val="24"/>
          <w:szCs w:val="24"/>
        </w:rPr>
        <w:t xml:space="preserve">Развитию сети железных дорог также способствовала политика правительства Японии, делавшего все для создания максимально благоприятных условий для функционирования </w:t>
      </w:r>
      <w:r>
        <w:rPr>
          <w:rFonts w:eastAsia="MingLiU;細明體" w:cs="Garamond" w:ascii="Garamond" w:hAnsi="Garamond"/>
          <w:i/>
          <w:sz w:val="24"/>
          <w:szCs w:val="24"/>
        </w:rPr>
        <w:t>мантэцу</w:t>
      </w:r>
      <w:r>
        <w:rPr>
          <w:rFonts w:eastAsia="MingLiU;細明體" w:cs="Garamond" w:ascii="Garamond" w:hAnsi="Garamond"/>
          <w:sz w:val="24"/>
          <w:szCs w:val="24"/>
        </w:rPr>
        <w:t xml:space="preserve">. Например, секретный протокол к Пекинскому договору с Китаем от 22 декабря 1905 г., закрепивший переход к Японии всех бывших прав и владений России в Южной Маньчжурии, содержал обязательство Китая не строить железных дорог параллельно </w:t>
      </w:r>
      <w:r>
        <w:rPr>
          <w:rFonts w:eastAsia="MingLiU;細明體" w:cs="Garamond" w:ascii="Garamond" w:hAnsi="Garamond"/>
          <w:i/>
          <w:sz w:val="24"/>
          <w:szCs w:val="24"/>
        </w:rPr>
        <w:t>мантэцу</w:t>
      </w:r>
      <w:r>
        <w:rPr>
          <w:rFonts w:eastAsia="MingLiU;細明體" w:cs="Garamond" w:ascii="Garamond" w:hAnsi="Garamond"/>
          <w:sz w:val="24"/>
          <w:szCs w:val="24"/>
        </w:rPr>
        <w:t xml:space="preserve"> или боковых линий, способных нанести ей экономический ущерб [Молодяков, 2006б, с. 12].</w:t>
      </w:r>
    </w:p>
    <w:p>
      <w:pPr>
        <w:pStyle w:val="Normal"/>
        <w:ind w:end="-31" w:firstLine="720"/>
        <w:jc w:val="both"/>
        <w:rPr/>
      </w:pPr>
      <w:r>
        <w:rPr>
          <w:rFonts w:eastAsia="MingLiU;細明體" w:cs="Garamond" w:ascii="Garamond" w:hAnsi="Garamond"/>
          <w:sz w:val="24"/>
          <w:szCs w:val="24"/>
        </w:rPr>
        <w:t>Официально захват Японией Маньчжурии начался с Маньчжурского инцидента 1931 г. и основания Маньчжоу-го в 1932 г. Однако в действительности это был длительный процесс, начавшийся значительно раньше в 1904–1905 гг. с приобретением Японией прав на аренду Ляодунского полуострова вместе с южной частью КВЖД. Именно в тот период «крупнейшие железнодорожные компании стали превращаться в «государства в государстве», т. к. с возможностью перебрасывать войска с невиданной ранее скоростью произошло осознание военного потенциала железных дорог и расширение театра военных действий» [Молодяков, 2006</w:t>
      </w:r>
      <w:r>
        <w:rPr>
          <w:rFonts w:eastAsia="MingLiU;細明體" w:cs="Garamond" w:ascii="Garamond" w:hAnsi="Garamond"/>
          <w:sz w:val="24"/>
          <w:szCs w:val="24"/>
          <w:lang w:val="en-US"/>
        </w:rPr>
        <w:t>a</w:t>
      </w:r>
      <w:r>
        <w:rPr>
          <w:rFonts w:eastAsia="MingLiU;細明體" w:cs="Garamond" w:ascii="Garamond" w:hAnsi="Garamond"/>
          <w:sz w:val="24"/>
          <w:szCs w:val="24"/>
        </w:rPr>
        <w:t>, с. 11].</w:t>
      </w:r>
    </w:p>
    <w:p>
      <w:pPr>
        <w:pStyle w:val="Normal"/>
        <w:ind w:end="-31" w:firstLine="720"/>
        <w:jc w:val="both"/>
        <w:rPr/>
      </w:pPr>
      <w:r>
        <w:rPr>
          <w:rFonts w:eastAsia="MingLiU;細明體" w:cs="Garamond" w:ascii="Garamond" w:hAnsi="Garamond"/>
          <w:sz w:val="24"/>
          <w:szCs w:val="24"/>
        </w:rPr>
        <w:t xml:space="preserve">Япония по-настоящему гордилась созданным предприятием и постоянно сравнивала свои показателями с показателями их русских предшественников до войны. Японцы считали </w:t>
      </w:r>
      <w:r>
        <w:rPr>
          <w:rFonts w:eastAsia="MingLiU;細明體" w:cs="Garamond" w:ascii="Garamond" w:hAnsi="Garamond"/>
          <w:i/>
          <w:sz w:val="24"/>
          <w:szCs w:val="24"/>
        </w:rPr>
        <w:t>мантэцу</w:t>
      </w:r>
      <w:r>
        <w:rPr>
          <w:rFonts w:eastAsia="MingLiU;細明體" w:cs="Garamond" w:ascii="Garamond" w:hAnsi="Garamond"/>
          <w:sz w:val="24"/>
          <w:szCs w:val="24"/>
        </w:rPr>
        <w:t xml:space="preserve"> «более коммерческим» предприятием и осознанно приуменьшали роль КВЖД в освоении Маньчжурии, хотя именно Россия вложила силы и средства на начальном, наиболее трудном и неприбыльном этапе строительства дороги. «Русские принесли в Маньчжурию деньги, японцы привели сюда бизнес», — такова была расхожая оценка современников [Молодяков, 2006</w:t>
      </w:r>
      <w:r>
        <w:rPr>
          <w:rFonts w:eastAsia="MingLiU;細明體" w:cs="Garamond" w:ascii="Garamond" w:hAnsi="Garamond"/>
          <w:sz w:val="24"/>
          <w:szCs w:val="24"/>
          <w:lang w:val="en-US"/>
        </w:rPr>
        <w:t>a</w:t>
      </w:r>
      <w:r>
        <w:rPr>
          <w:rFonts w:eastAsia="MingLiU;細明體" w:cs="Garamond" w:ascii="Garamond" w:hAnsi="Garamond"/>
          <w:sz w:val="24"/>
          <w:szCs w:val="24"/>
        </w:rPr>
        <w:t xml:space="preserve">, с. 15]. И действительно, потеря южной части КВЖД стала серьезным ударом для России, ведь эта территория представлялась крайне важной как стратегически, так и экономически, а в итоге Маньчжурия превратилась в плацдарм военно-политической экспансии Японии. </w:t>
      </w:r>
    </w:p>
    <w:p>
      <w:pPr>
        <w:pStyle w:val="Normal"/>
        <w:ind w:start="720" w:end="-31" w:hanging="720"/>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 xml:space="preserve">Литература / </w:t>
      </w:r>
      <w:r>
        <w:rPr>
          <w:rFonts w:eastAsia="MingLiU;細明體" w:cs="Garamond" w:ascii="Garamond" w:hAnsi="Garamond"/>
          <w:sz w:val="24"/>
          <w:szCs w:val="24"/>
          <w:lang w:val="en-US"/>
        </w:rPr>
        <w:t>References</w:t>
      </w:r>
    </w:p>
    <w:p>
      <w:pPr>
        <w:pStyle w:val="Normal"/>
        <w:ind w:start="720" w:end="-31" w:hanging="720"/>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 xml:space="preserve">Батбаяр Ц. </w:t>
      </w:r>
      <w:r>
        <w:rPr>
          <w:rFonts w:eastAsia="MingLiU;細明體" w:cs="Garamond" w:ascii="Garamond" w:hAnsi="Garamond"/>
          <w:i/>
          <w:sz w:val="22"/>
          <w:szCs w:val="22"/>
        </w:rPr>
        <w:t>Монголия и Япония в первой половине ХХ в.</w:t>
      </w:r>
      <w:r>
        <w:rPr>
          <w:rFonts w:eastAsia="MingLiU;細明體" w:cs="Garamond" w:ascii="Garamond" w:hAnsi="Garamond"/>
          <w:sz w:val="22"/>
          <w:szCs w:val="22"/>
        </w:rPr>
        <w:t xml:space="preserve"> Улан-Удэ, 2002 [</w:t>
      </w:r>
      <w:r>
        <w:rPr>
          <w:rFonts w:eastAsia="MingLiU;細明體" w:cs="Garamond" w:ascii="Garamond" w:hAnsi="Garamond"/>
          <w:sz w:val="22"/>
          <w:szCs w:val="22"/>
          <w:lang w:val="en-US"/>
        </w:rPr>
        <w:t>Batbayar</w:t>
      </w:r>
      <w:r>
        <w:rPr>
          <w:rFonts w:eastAsia="MingLiU;細明體" w:cs="Garamond" w:ascii="Garamond" w:hAnsi="Garamond"/>
          <w:sz w:val="22"/>
          <w:szCs w:val="22"/>
        </w:rPr>
        <w:t> </w:t>
      </w:r>
      <w:r>
        <w:rPr>
          <w:rFonts w:eastAsia="MingLiU;細明體" w:cs="Garamond" w:ascii="Garamond" w:hAnsi="Garamond"/>
          <w:sz w:val="22"/>
          <w:szCs w:val="22"/>
          <w:lang w:val="en-US"/>
        </w:rPr>
        <w:t>Ts</w:t>
      </w:r>
      <w:r>
        <w:rPr>
          <w:rFonts w:eastAsia="MingLiU;細明體" w:cs="Garamond" w:ascii="Garamond" w:hAnsi="Garamond"/>
          <w:sz w:val="22"/>
          <w:szCs w:val="22"/>
        </w:rPr>
        <w:t xml:space="preserve">. </w:t>
      </w:r>
      <w:r>
        <w:rPr>
          <w:rFonts w:eastAsia="MingLiU;細明體" w:cs="Garamond" w:ascii="Garamond" w:hAnsi="Garamond"/>
          <w:i/>
          <w:sz w:val="22"/>
          <w:szCs w:val="22"/>
          <w:lang w:val="en-US"/>
        </w:rPr>
        <w:t>Mongolia and Japan in the 1</w:t>
      </w:r>
      <w:r>
        <w:rPr>
          <w:rFonts w:eastAsia="MingLiU;細明體" w:cs="Garamond" w:ascii="Garamond" w:hAnsi="Garamond"/>
          <w:i/>
          <w:sz w:val="22"/>
          <w:szCs w:val="22"/>
          <w:vertAlign w:val="superscript"/>
          <w:lang w:val="en-US"/>
        </w:rPr>
        <w:t>st</w:t>
      </w:r>
      <w:r>
        <w:rPr>
          <w:rFonts w:eastAsia="MingLiU;細明體" w:cs="Garamond" w:ascii="Garamond" w:hAnsi="Garamond"/>
          <w:i/>
          <w:sz w:val="22"/>
          <w:szCs w:val="22"/>
          <w:lang w:val="en-US"/>
        </w:rPr>
        <w:t xml:space="preserve"> Half of the 20</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Century</w:t>
      </w:r>
      <w:r>
        <w:rPr>
          <w:rFonts w:eastAsia="MingLiU;細明體" w:cs="Garamond" w:ascii="Garamond" w:hAnsi="Garamond"/>
          <w:sz w:val="22"/>
          <w:szCs w:val="22"/>
          <w:lang w:val="en-US"/>
        </w:rPr>
        <w:t>. Ulan</w:t>
      </w:r>
      <w:r>
        <w:rPr>
          <w:rFonts w:eastAsia="MingLiU;細明體" w:cs="Garamond" w:ascii="Garamond" w:hAnsi="Garamond"/>
          <w:sz w:val="22"/>
          <w:szCs w:val="22"/>
        </w:rPr>
        <w:t>-</w:t>
      </w:r>
      <w:r>
        <w:rPr>
          <w:rFonts w:eastAsia="MingLiU;細明體" w:cs="Garamond" w:ascii="Garamond" w:hAnsi="Garamond"/>
          <w:sz w:val="22"/>
          <w:szCs w:val="22"/>
          <w:lang w:val="en-US"/>
        </w:rPr>
        <w:t>Ude</w:t>
      </w:r>
      <w:r>
        <w:rPr>
          <w:rFonts w:eastAsia="MingLiU;細明體" w:cs="Garamond" w:ascii="Garamond" w:hAnsi="Garamond"/>
          <w:sz w:val="22"/>
          <w:szCs w:val="22"/>
        </w:rPr>
        <w:t>, 2002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Гримм Э.</w:t>
      </w:r>
      <w:r>
        <w:rPr>
          <w:rFonts w:eastAsia="MingLiU;細明體" w:cs="Garamond" w:ascii="Garamond" w:hAnsi="Garamond"/>
          <w:sz w:val="22"/>
          <w:szCs w:val="22"/>
          <w:lang w:val="en-US"/>
        </w:rPr>
        <w:t> </w:t>
      </w:r>
      <w:r>
        <w:rPr>
          <w:rFonts w:eastAsia="MingLiU;細明體" w:cs="Garamond" w:ascii="Garamond" w:hAnsi="Garamond"/>
          <w:sz w:val="22"/>
          <w:szCs w:val="22"/>
        </w:rPr>
        <w:t xml:space="preserve">Д. </w:t>
      </w:r>
      <w:r>
        <w:rPr>
          <w:rFonts w:eastAsia="MingLiU;細明體" w:cs="Garamond" w:ascii="Garamond" w:hAnsi="Garamond"/>
          <w:i/>
          <w:sz w:val="22"/>
          <w:szCs w:val="22"/>
        </w:rPr>
        <w:t>Сборник договоров и других инструментов по истории международных отношений на Дальнем Востоке (1842–1925)</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1927 [Grimm E. D. </w:t>
      </w:r>
      <w:r>
        <w:rPr>
          <w:rFonts w:eastAsia="MingLiU;細明體" w:cs="Garamond" w:ascii="Garamond" w:hAnsi="Garamond"/>
          <w:i/>
          <w:sz w:val="22"/>
          <w:szCs w:val="22"/>
          <w:lang w:val="en-US"/>
        </w:rPr>
        <w:t>Collection of Treaties and Other Instruments on the History of International Relations in the Far East (1842–1925)</w:t>
      </w:r>
      <w:r>
        <w:rPr>
          <w:rFonts w:eastAsia="MingLiU;細明體" w:cs="Garamond" w:ascii="Garamond" w:hAnsi="Garamond"/>
          <w:sz w:val="22"/>
          <w:szCs w:val="22"/>
          <w:lang w:val="en-US"/>
        </w:rPr>
        <w:t>. Moscow</w:t>
      </w:r>
      <w:r>
        <w:rPr>
          <w:rFonts w:eastAsia="MingLiU;細明體" w:cs="Garamond" w:ascii="Garamond" w:hAnsi="Garamond"/>
          <w:sz w:val="22"/>
          <w:szCs w:val="22"/>
        </w:rPr>
        <w:t>, 1927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 xml:space="preserve">)]. </w:t>
      </w:r>
    </w:p>
    <w:p>
      <w:pPr>
        <w:pStyle w:val="Normal"/>
        <w:ind w:start="720" w:end="-31" w:hanging="720"/>
        <w:jc w:val="both"/>
        <w:rPr/>
      </w:pPr>
      <w:r>
        <w:rPr>
          <w:rFonts w:eastAsia="MingLiU;細明體" w:cs="Garamond" w:ascii="Garamond" w:hAnsi="Garamond"/>
          <w:sz w:val="22"/>
          <w:szCs w:val="22"/>
        </w:rPr>
        <w:t>Досовицкая В.</w:t>
      </w:r>
      <w:r>
        <w:rPr>
          <w:rFonts w:eastAsia="MingLiU;細明體" w:cs="Garamond" w:ascii="Garamond" w:hAnsi="Garamond"/>
          <w:sz w:val="22"/>
          <w:szCs w:val="22"/>
          <w:lang w:val="en-US"/>
        </w:rPr>
        <w:t> </w:t>
      </w:r>
      <w:r>
        <w:rPr>
          <w:rFonts w:eastAsia="MingLiU;細明體" w:cs="Garamond" w:ascii="Garamond" w:hAnsi="Garamond"/>
          <w:sz w:val="22"/>
          <w:szCs w:val="22"/>
        </w:rPr>
        <w:t xml:space="preserve">В. </w:t>
      </w:r>
      <w:r>
        <w:rPr>
          <w:rFonts w:eastAsia="MingLiU;細明體" w:cs="Garamond" w:ascii="Garamond" w:hAnsi="Garamond"/>
          <w:iCs/>
          <w:sz w:val="22"/>
          <w:szCs w:val="22"/>
        </w:rPr>
        <w:t>Маньчжурский вектор внешней политики Японии накануне и период Первой мировой войны.</w:t>
      </w:r>
      <w:r>
        <w:rPr>
          <w:rFonts w:eastAsia="MingLiU;細明體" w:cs="Garamond" w:ascii="Garamond" w:hAnsi="Garamond"/>
          <w:sz w:val="22"/>
          <w:szCs w:val="22"/>
        </w:rPr>
        <w:t xml:space="preserve"> </w:t>
      </w:r>
      <w:r>
        <w:rPr>
          <w:rFonts w:eastAsia="MingLiU;細明體" w:cs="Garamond" w:ascii="Garamond" w:hAnsi="Garamond"/>
          <w:i/>
          <w:sz w:val="22"/>
          <w:szCs w:val="22"/>
        </w:rPr>
        <w:t>Проблемы</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востоковедения</w:t>
      </w:r>
      <w:r>
        <w:rPr>
          <w:rFonts w:eastAsia="MingLiU;細明體" w:cs="Garamond" w:ascii="Garamond" w:hAnsi="Garamond"/>
          <w:sz w:val="22"/>
          <w:szCs w:val="22"/>
          <w:lang w:val="en-US"/>
        </w:rPr>
        <w:t xml:space="preserve">. 2014. № 4. </w:t>
      </w:r>
      <w:r>
        <w:rPr>
          <w:rFonts w:eastAsia="MingLiU;細明體" w:cs="Garamond" w:ascii="Garamond" w:hAnsi="Garamond"/>
          <w:sz w:val="22"/>
          <w:szCs w:val="22"/>
        </w:rPr>
        <w:t>С</w:t>
      </w:r>
      <w:r>
        <w:rPr>
          <w:rFonts w:eastAsia="MingLiU;細明體" w:cs="Garamond" w:ascii="Garamond" w:hAnsi="Garamond"/>
          <w:sz w:val="22"/>
          <w:szCs w:val="22"/>
          <w:lang w:val="en-US"/>
        </w:rPr>
        <w:t xml:space="preserve">. 30–33 [Dosovitskaia V. V. </w:t>
      </w:r>
      <w:r>
        <w:rPr>
          <w:rFonts w:eastAsia="MingLiU;細明體" w:cs="Garamond" w:ascii="Garamond" w:hAnsi="Garamond"/>
          <w:iCs/>
          <w:sz w:val="22"/>
          <w:szCs w:val="22"/>
          <w:lang w:val="en-US"/>
        </w:rPr>
        <w:t xml:space="preserve">The Manchurian Vector of Japanese Foreign Policy on the Eve and during the First World War. </w:t>
      </w:r>
      <w:r>
        <w:rPr>
          <w:rFonts w:eastAsia="MingLiU;細明體" w:cs="Garamond" w:ascii="Garamond" w:hAnsi="Garamond"/>
          <w:i/>
          <w:sz w:val="22"/>
          <w:szCs w:val="22"/>
          <w:lang w:val="en-US"/>
        </w:rPr>
        <w:t>Problems of Oriental Studies</w:t>
      </w:r>
      <w:r>
        <w:rPr>
          <w:rFonts w:eastAsia="MingLiU;細明體" w:cs="Garamond" w:ascii="Garamond" w:hAnsi="Garamond"/>
          <w:sz w:val="22"/>
          <w:szCs w:val="22"/>
          <w:lang w:val="en-US"/>
        </w:rPr>
        <w:t xml:space="preserve">. 2014. 4. Pp. 30–33 (in Russian)]. </w:t>
      </w:r>
    </w:p>
    <w:p>
      <w:pPr>
        <w:pStyle w:val="Normal"/>
        <w:ind w:start="720" w:end="-31" w:hanging="720"/>
        <w:jc w:val="both"/>
        <w:rPr/>
      </w:pPr>
      <w:r>
        <w:rPr>
          <w:rFonts w:eastAsia="MingLiU;細明體" w:cs="Garamond" w:ascii="Garamond" w:hAnsi="Garamond"/>
          <w:sz w:val="22"/>
          <w:szCs w:val="22"/>
        </w:rPr>
        <w:t>Досовицкая</w:t>
      </w:r>
      <w:r>
        <w:rPr>
          <w:rFonts w:eastAsia="MingLiU;細明體" w:cs="Garamond" w:ascii="Garamond" w:hAnsi="Garamond"/>
          <w:sz w:val="22"/>
          <w:szCs w:val="22"/>
          <w:lang w:val="en-US"/>
        </w:rPr>
        <w:t xml:space="preserve"> </w:t>
      </w:r>
      <w:r>
        <w:rPr>
          <w:rFonts w:eastAsia="MingLiU;細明體" w:cs="Garamond" w:ascii="Garamond" w:hAnsi="Garamond"/>
          <w:sz w:val="22"/>
          <w:szCs w:val="22"/>
        </w:rPr>
        <w:t>В</w:t>
      </w:r>
      <w:r>
        <w:rPr>
          <w:rFonts w:eastAsia="MingLiU;細明體" w:cs="Garamond" w:ascii="Garamond" w:hAnsi="Garamond"/>
          <w:sz w:val="22"/>
          <w:szCs w:val="22"/>
          <w:lang w:val="en-US"/>
        </w:rPr>
        <w:t>. </w:t>
      </w:r>
      <w:r>
        <w:rPr>
          <w:rFonts w:eastAsia="MingLiU;細明體" w:cs="Garamond" w:ascii="Garamond" w:hAnsi="Garamond"/>
          <w:sz w:val="22"/>
          <w:szCs w:val="22"/>
        </w:rPr>
        <w:t>В</w:t>
      </w:r>
      <w:r>
        <w:rPr>
          <w:rFonts w:eastAsia="MingLiU;細明體" w:cs="Garamond" w:ascii="Garamond" w:hAnsi="Garamond"/>
          <w:sz w:val="22"/>
          <w:szCs w:val="22"/>
          <w:lang w:val="en-US"/>
        </w:rPr>
        <w:t xml:space="preserve">. </w:t>
      </w:r>
      <w:r>
        <w:rPr>
          <w:rFonts w:eastAsia="MingLiU;細明體" w:cs="Garamond" w:ascii="Garamond" w:hAnsi="Garamond"/>
          <w:iCs/>
          <w:sz w:val="22"/>
          <w:szCs w:val="22"/>
        </w:rPr>
        <w:t>Японская</w:t>
      </w:r>
      <w:r>
        <w:rPr>
          <w:rFonts w:eastAsia="MingLiU;細明體" w:cs="Garamond" w:ascii="Garamond" w:hAnsi="Garamond"/>
          <w:iCs/>
          <w:sz w:val="22"/>
          <w:szCs w:val="22"/>
          <w:lang w:val="en-US"/>
        </w:rPr>
        <w:t xml:space="preserve"> </w:t>
      </w:r>
      <w:r>
        <w:rPr>
          <w:rFonts w:eastAsia="MingLiU;細明體" w:cs="Garamond" w:ascii="Garamond" w:hAnsi="Garamond"/>
          <w:iCs/>
          <w:sz w:val="22"/>
          <w:szCs w:val="22"/>
        </w:rPr>
        <w:t>иммиграция</w:t>
      </w:r>
      <w:r>
        <w:rPr>
          <w:rFonts w:eastAsia="MingLiU;細明體" w:cs="Garamond" w:ascii="Garamond" w:hAnsi="Garamond"/>
          <w:iCs/>
          <w:sz w:val="22"/>
          <w:szCs w:val="22"/>
          <w:lang w:val="en-US"/>
        </w:rPr>
        <w:t xml:space="preserve"> </w:t>
      </w:r>
      <w:r>
        <w:rPr>
          <w:rFonts w:eastAsia="MingLiU;細明體" w:cs="Garamond" w:ascii="Garamond" w:hAnsi="Garamond"/>
          <w:iCs/>
          <w:sz w:val="22"/>
          <w:szCs w:val="22"/>
        </w:rPr>
        <w:t>в</w:t>
      </w:r>
      <w:r>
        <w:rPr>
          <w:rFonts w:eastAsia="MingLiU;細明體" w:cs="Garamond" w:ascii="Garamond" w:hAnsi="Garamond"/>
          <w:iCs/>
          <w:sz w:val="22"/>
          <w:szCs w:val="22"/>
          <w:lang w:val="en-US"/>
        </w:rPr>
        <w:t xml:space="preserve"> </w:t>
      </w:r>
      <w:r>
        <w:rPr>
          <w:rFonts w:eastAsia="MingLiU;細明體" w:cs="Garamond" w:ascii="Garamond" w:hAnsi="Garamond"/>
          <w:iCs/>
          <w:sz w:val="22"/>
          <w:szCs w:val="22"/>
        </w:rPr>
        <w:t>Маньчжоу</w:t>
      </w:r>
      <w:r>
        <w:rPr>
          <w:rFonts w:eastAsia="MingLiU;細明體" w:cs="Garamond" w:ascii="Garamond" w:hAnsi="Garamond"/>
          <w:iCs/>
          <w:sz w:val="22"/>
          <w:szCs w:val="22"/>
          <w:lang w:val="en-US"/>
        </w:rPr>
        <w:t>-</w:t>
      </w:r>
      <w:r>
        <w:rPr>
          <w:rFonts w:eastAsia="MingLiU;細明體" w:cs="Garamond" w:ascii="Garamond" w:hAnsi="Garamond"/>
          <w:iCs/>
          <w:sz w:val="22"/>
          <w:szCs w:val="22"/>
        </w:rPr>
        <w:t>Го</w:t>
      </w:r>
      <w:r>
        <w:rPr>
          <w:rFonts w:eastAsia="MingLiU;細明體" w:cs="Garamond" w:ascii="Garamond" w:hAnsi="Garamond"/>
          <w:iCs/>
          <w:sz w:val="22"/>
          <w:szCs w:val="22"/>
          <w:lang w:val="en-US"/>
        </w:rPr>
        <w:t xml:space="preserve">. </w:t>
      </w:r>
      <w:r>
        <w:rPr>
          <w:rFonts w:eastAsia="MingLiU;細明體" w:cs="Garamond" w:ascii="Garamond" w:hAnsi="Garamond"/>
          <w:i/>
          <w:sz w:val="22"/>
          <w:szCs w:val="22"/>
        </w:rPr>
        <w:t>Государственная и квазигосударственная природа Маньчжоу-Го: исторические очерки</w:t>
      </w:r>
      <w:r>
        <w:rPr>
          <w:rFonts w:eastAsia="MingLiU;細明體" w:cs="Garamond" w:ascii="Garamond" w:hAnsi="Garamond"/>
          <w:sz w:val="22"/>
          <w:szCs w:val="22"/>
        </w:rPr>
        <w:t>. Иркутск</w:t>
      </w:r>
      <w:r>
        <w:rPr>
          <w:rFonts w:eastAsia="MingLiU;細明體" w:cs="Garamond" w:ascii="Garamond" w:hAnsi="Garamond"/>
          <w:sz w:val="22"/>
          <w:szCs w:val="22"/>
          <w:lang w:val="en-US"/>
        </w:rPr>
        <w:t xml:space="preserve">, 2016. C. 144–160 [Dosovitskaia V. V. </w:t>
      </w:r>
      <w:r>
        <w:rPr>
          <w:rFonts w:eastAsia="MingLiU;細明體" w:cs="Garamond" w:ascii="Garamond" w:hAnsi="Garamond"/>
          <w:iCs/>
          <w:sz w:val="22"/>
          <w:szCs w:val="22"/>
          <w:lang w:val="en-US"/>
        </w:rPr>
        <w:t>Japanese Immigration to Manchukuo</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 xml:space="preserve">State and Quasi-State Nature of Manchukuo: Historical Essays. </w:t>
      </w:r>
      <w:r>
        <w:rPr>
          <w:rFonts w:eastAsia="MingLiU;細明體" w:cs="Garamond" w:ascii="Garamond" w:hAnsi="Garamond"/>
          <w:sz w:val="22"/>
          <w:szCs w:val="22"/>
          <w:lang w:val="en-US"/>
        </w:rPr>
        <w:t>Irkutsk</w:t>
      </w:r>
      <w:r>
        <w:rPr>
          <w:rFonts w:eastAsia="MingLiU;細明體" w:cs="Garamond" w:ascii="Garamond" w:hAnsi="Garamond"/>
          <w:sz w:val="22"/>
          <w:szCs w:val="22"/>
        </w:rPr>
        <w:t xml:space="preserve">, 2016. </w:t>
      </w:r>
      <w:r>
        <w:rPr>
          <w:rFonts w:eastAsia="MingLiU;細明體" w:cs="Garamond" w:ascii="Garamond" w:hAnsi="Garamond"/>
          <w:sz w:val="22"/>
          <w:szCs w:val="22"/>
          <w:lang w:val="en-US"/>
        </w:rPr>
        <w:t>Pp</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144–160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Style32"/>
        <w:ind w:start="720" w:end="-31" w:hanging="720"/>
        <w:jc w:val="both"/>
        <w:rPr/>
      </w:pPr>
      <w:r>
        <w:rPr>
          <w:rStyle w:val="Citation"/>
          <w:rFonts w:eastAsia="MingLiU;細明體" w:cs="Garamond" w:ascii="Garamond" w:hAnsi="Garamond"/>
          <w:sz w:val="22"/>
          <w:szCs w:val="22"/>
        </w:rPr>
        <w:t>Захарова Г.</w:t>
      </w:r>
      <w:r>
        <w:rPr>
          <w:rStyle w:val="Citation"/>
          <w:rFonts w:eastAsia="MingLiU;細明體" w:cs="Garamond" w:ascii="Garamond" w:hAnsi="Garamond"/>
          <w:sz w:val="22"/>
          <w:szCs w:val="22"/>
          <w:lang w:val="en-US"/>
        </w:rPr>
        <w:t> </w:t>
      </w:r>
      <w:r>
        <w:rPr>
          <w:rStyle w:val="Citation"/>
          <w:rFonts w:eastAsia="MingLiU;細明體" w:cs="Garamond" w:ascii="Garamond" w:hAnsi="Garamond"/>
          <w:sz w:val="22"/>
          <w:szCs w:val="22"/>
        </w:rPr>
        <w:t xml:space="preserve">Ф. </w:t>
      </w:r>
      <w:r>
        <w:rPr>
          <w:rStyle w:val="Citation"/>
          <w:rFonts w:eastAsia="MingLiU;細明體" w:cs="Garamond" w:ascii="Garamond" w:hAnsi="Garamond"/>
          <w:i/>
          <w:sz w:val="22"/>
          <w:szCs w:val="22"/>
        </w:rPr>
        <w:t>Политика Японии в Маньчжурии 1932–1945</w:t>
      </w:r>
      <w:r>
        <w:rPr>
          <w:rStyle w:val="Citation"/>
          <w:rFonts w:eastAsia="MingLiU;細明體" w:cs="Garamond" w:ascii="Garamond" w:hAnsi="Garamond"/>
          <w:sz w:val="22"/>
          <w:szCs w:val="22"/>
        </w:rPr>
        <w:t>. М</w:t>
      </w:r>
      <w:r>
        <w:rPr>
          <w:rStyle w:val="Citation"/>
          <w:rFonts w:eastAsia="MingLiU;細明體" w:cs="Garamond" w:ascii="Garamond" w:hAnsi="Garamond"/>
          <w:sz w:val="22"/>
          <w:szCs w:val="22"/>
          <w:lang w:val="en-US"/>
        </w:rPr>
        <w:t xml:space="preserve">., 1990 </w:t>
      </w:r>
      <w:r>
        <w:rPr>
          <w:rFonts w:eastAsia="MingLiU;細明體" w:cs="Garamond" w:ascii="Garamond" w:hAnsi="Garamond"/>
          <w:sz w:val="22"/>
          <w:szCs w:val="22"/>
          <w:lang w:val="en-US"/>
        </w:rPr>
        <w:t xml:space="preserve">[Zakharova G. F. </w:t>
      </w:r>
      <w:r>
        <w:rPr>
          <w:rFonts w:eastAsia="MingLiU;細明體" w:cs="Garamond" w:ascii="Garamond" w:hAnsi="Garamond"/>
          <w:i/>
          <w:sz w:val="22"/>
          <w:szCs w:val="22"/>
          <w:lang w:val="en-US"/>
        </w:rPr>
        <w:t>Japanese Policy in Manchuria 1932–1934.</w:t>
      </w:r>
      <w:r>
        <w:rPr>
          <w:rFonts w:eastAsia="MingLiU;細明體" w:cs="Garamond" w:ascii="Garamond" w:hAnsi="Garamond"/>
          <w:sz w:val="22"/>
          <w:szCs w:val="22"/>
          <w:lang w:val="en-US"/>
        </w:rPr>
        <w:t xml:space="preserve"> Moscow</w:t>
      </w:r>
      <w:r>
        <w:rPr>
          <w:rFonts w:eastAsia="MingLiU;細明體" w:cs="Garamond" w:ascii="Garamond" w:hAnsi="Garamond"/>
          <w:sz w:val="22"/>
          <w:szCs w:val="22"/>
        </w:rPr>
        <w:t>, 1990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 xml:space="preserve">)]. </w:t>
      </w:r>
    </w:p>
    <w:p>
      <w:pPr>
        <w:pStyle w:val="Normal"/>
        <w:ind w:start="720" w:end="-31" w:hanging="720"/>
        <w:jc w:val="both"/>
        <w:rPr/>
      </w:pPr>
      <w:r>
        <w:rPr>
          <w:rFonts w:eastAsia="MingLiU;細明體" w:cs="Garamond" w:ascii="Garamond" w:hAnsi="Garamond"/>
          <w:sz w:val="22"/>
          <w:szCs w:val="22"/>
        </w:rPr>
        <w:t xml:space="preserve">Молодяков В. Э. </w:t>
      </w:r>
      <w:r>
        <w:rPr>
          <w:rFonts w:eastAsia="MingLiU;細明體" w:cs="Garamond" w:ascii="Garamond" w:hAnsi="Garamond"/>
          <w:i/>
          <w:sz w:val="22"/>
          <w:szCs w:val="22"/>
        </w:rPr>
        <w:t>Гото Симпэй и русско-японские отношения</w:t>
      </w:r>
      <w:r>
        <w:rPr>
          <w:rFonts w:eastAsia="MingLiU;細明體" w:cs="Garamond" w:ascii="Garamond" w:hAnsi="Garamond"/>
          <w:sz w:val="22"/>
          <w:szCs w:val="22"/>
        </w:rPr>
        <w:t>. М</w:t>
      </w:r>
      <w:r>
        <w:rPr>
          <w:rFonts w:eastAsia="MingLiU;細明體" w:cs="Garamond" w:ascii="Garamond" w:hAnsi="Garamond"/>
          <w:sz w:val="22"/>
          <w:szCs w:val="22"/>
          <w:lang w:val="en-US"/>
        </w:rPr>
        <w:t>., 2006a [Molodyakov</w:t>
      </w:r>
      <w:r>
        <w:rPr>
          <w:rFonts w:eastAsia="MingLiU;細明體" w:cs="Garamond" w:ascii="Garamond" w:hAnsi="Garamond"/>
          <w:sz w:val="22"/>
          <w:szCs w:val="22"/>
        </w:rPr>
        <w:t> </w:t>
      </w:r>
      <w:r>
        <w:rPr>
          <w:rFonts w:eastAsia="MingLiU;細明體" w:cs="Garamond" w:ascii="Garamond" w:hAnsi="Garamond"/>
          <w:sz w:val="22"/>
          <w:szCs w:val="22"/>
          <w:lang w:val="en-US"/>
        </w:rPr>
        <w:t xml:space="preserve">V. E. </w:t>
      </w:r>
      <w:r>
        <w:rPr>
          <w:rFonts w:eastAsia="MingLiU;細明體" w:cs="Garamond" w:ascii="Garamond" w:hAnsi="Garamond"/>
          <w:i/>
          <w:sz w:val="22"/>
          <w:szCs w:val="22"/>
          <w:lang w:val="en-US"/>
        </w:rPr>
        <w:t>Goto Simpei and Russian-Japanese Relations</w:t>
      </w:r>
      <w:r>
        <w:rPr>
          <w:rFonts w:eastAsia="MingLiU;細明體" w:cs="Garamond" w:ascii="Garamond" w:hAnsi="Garamond"/>
          <w:sz w:val="22"/>
          <w:szCs w:val="22"/>
          <w:lang w:val="en-US"/>
        </w:rPr>
        <w:t xml:space="preserve">. Moscow, 2006a (in Russian)]. </w:t>
      </w:r>
    </w:p>
    <w:p>
      <w:pPr>
        <w:pStyle w:val="Style32"/>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 xml:space="preserve">Молодяков В. Э. </w:t>
      </w:r>
      <w:r>
        <w:rPr>
          <w:rFonts w:eastAsia="MingLiU;細明體" w:cs="Garamond" w:ascii="Garamond" w:hAnsi="Garamond"/>
          <w:i/>
          <w:sz w:val="22"/>
          <w:szCs w:val="22"/>
        </w:rPr>
        <w:t xml:space="preserve">Россия и Япония: рельсы гудят. </w:t>
      </w:r>
      <w:r>
        <w:rPr>
          <w:rFonts w:eastAsia="MingLiU;細明體" w:cs="Garamond" w:ascii="Garamond" w:hAnsi="Garamond"/>
          <w:sz w:val="22"/>
          <w:szCs w:val="22"/>
        </w:rPr>
        <w:t>М</w:t>
      </w:r>
      <w:r>
        <w:rPr>
          <w:rFonts w:eastAsia="MingLiU;細明體" w:cs="Garamond" w:ascii="Garamond" w:hAnsi="Garamond"/>
          <w:sz w:val="22"/>
          <w:szCs w:val="22"/>
          <w:lang w:val="en-US"/>
        </w:rPr>
        <w:t>., 2006</w:t>
      </w:r>
      <w:r>
        <w:rPr>
          <w:rFonts w:eastAsia="MingLiU;細明體" w:cs="Garamond" w:ascii="Garamond" w:hAnsi="Garamond"/>
          <w:sz w:val="22"/>
          <w:szCs w:val="22"/>
        </w:rPr>
        <w:t>б</w:t>
      </w:r>
      <w:r>
        <w:rPr>
          <w:rFonts w:eastAsia="MingLiU;細明體" w:cs="Garamond" w:ascii="Garamond" w:hAnsi="Garamond"/>
          <w:sz w:val="22"/>
          <w:szCs w:val="22"/>
          <w:lang w:val="en-US"/>
        </w:rPr>
        <w:t xml:space="preserve"> [Molodyakov V. E. </w:t>
      </w:r>
      <w:r>
        <w:rPr>
          <w:rFonts w:eastAsia="MingLiU;細明體" w:cs="Garamond" w:ascii="Garamond" w:hAnsi="Garamond"/>
          <w:i/>
          <w:sz w:val="22"/>
          <w:szCs w:val="22"/>
          <w:lang w:val="en-US"/>
        </w:rPr>
        <w:t>Russia and Japan: The Rails are Buzzing.</w:t>
      </w:r>
      <w:r>
        <w:rPr>
          <w:rFonts w:eastAsia="MingLiU;細明體" w:cs="Garamond" w:ascii="Garamond" w:hAnsi="Garamond"/>
          <w:sz w:val="22"/>
          <w:szCs w:val="22"/>
          <w:lang w:val="en-US"/>
        </w:rPr>
        <w:t xml:space="preserve"> Moscow, 2006</w:t>
      </w:r>
      <w:r>
        <w:rPr>
          <w:rFonts w:eastAsia="MingLiU;細明體" w:cs="Garamond" w:ascii="Garamond" w:hAnsi="Garamond"/>
          <w:sz w:val="22"/>
          <w:szCs w:val="22"/>
        </w:rPr>
        <w:t>б</w:t>
      </w:r>
      <w:r>
        <w:rPr>
          <w:rFonts w:eastAsia="MingLiU;細明體" w:cs="Garamond" w:ascii="Garamond" w:hAnsi="Garamond"/>
          <w:sz w:val="22"/>
          <w:szCs w:val="22"/>
          <w:lang w:val="en-US"/>
        </w:rPr>
        <w:t xml:space="preserve"> (in Russian)].</w:t>
      </w:r>
    </w:p>
    <w:p>
      <w:pPr>
        <w:pStyle w:val="Style32"/>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 xml:space="preserve">Раппорот В. </w:t>
      </w:r>
      <w:r>
        <w:rPr>
          <w:rFonts w:eastAsia="MingLiU;細明體" w:cs="Garamond" w:ascii="Garamond" w:hAnsi="Garamond"/>
          <w:i/>
          <w:sz w:val="22"/>
          <w:szCs w:val="22"/>
        </w:rPr>
        <w:t>Маньчжурия</w:t>
      </w:r>
      <w:r>
        <w:rPr>
          <w:rFonts w:eastAsia="MingLiU;細明體" w:cs="Garamond" w:ascii="Garamond" w:hAnsi="Garamond"/>
          <w:sz w:val="22"/>
          <w:szCs w:val="22"/>
        </w:rPr>
        <w:t>. Б</w:t>
      </w:r>
      <w:r>
        <w:rPr>
          <w:rFonts w:eastAsia="MingLiU;細明體" w:cs="Garamond" w:ascii="Garamond" w:hAnsi="Garamond"/>
          <w:sz w:val="22"/>
          <w:szCs w:val="22"/>
          <w:lang w:val="en-US"/>
        </w:rPr>
        <w:t>.</w:t>
      </w:r>
      <w:r>
        <w:rPr>
          <w:rFonts w:eastAsia="MingLiU;細明體" w:cs="Garamond" w:ascii="Garamond" w:hAnsi="Garamond"/>
          <w:sz w:val="22"/>
          <w:szCs w:val="22"/>
        </w:rPr>
        <w:t>м</w:t>
      </w:r>
      <w:r>
        <w:rPr>
          <w:rFonts w:eastAsia="MingLiU;細明體" w:cs="Garamond" w:ascii="Garamond" w:hAnsi="Garamond"/>
          <w:sz w:val="22"/>
          <w:szCs w:val="22"/>
          <w:lang w:val="en-US"/>
        </w:rPr>
        <w:t xml:space="preserve">., 1945 [Rappoport V. </w:t>
      </w:r>
      <w:r>
        <w:rPr>
          <w:rFonts w:eastAsia="MingLiU;細明體" w:cs="Garamond" w:ascii="Garamond" w:hAnsi="Garamond"/>
          <w:i/>
          <w:sz w:val="22"/>
          <w:szCs w:val="22"/>
          <w:lang w:val="en-US"/>
        </w:rPr>
        <w:t>Manchuria.</w:t>
      </w:r>
      <w:r>
        <w:rPr>
          <w:rFonts w:eastAsia="MingLiU;細明體" w:cs="Garamond" w:ascii="Garamond" w:hAnsi="Garamond"/>
          <w:sz w:val="22"/>
          <w:szCs w:val="22"/>
          <w:lang w:val="en-US"/>
        </w:rPr>
        <w:t xml:space="preserve"> S.l., 1945 (in Russian)]. </w:t>
      </w:r>
    </w:p>
    <w:p>
      <w:pPr>
        <w:pStyle w:val="Style32"/>
        <w:ind w:start="720" w:end="-31" w:hanging="720"/>
        <w:jc w:val="both"/>
        <w:rPr/>
      </w:pPr>
      <w:r>
        <w:rPr>
          <w:rFonts w:eastAsia="MingLiU;細明體" w:cs="Garamond" w:ascii="Garamond" w:hAnsi="Garamond"/>
          <w:sz w:val="22"/>
          <w:szCs w:val="22"/>
        </w:rPr>
        <w:t xml:space="preserve">Тульский С., Матросов Ф. </w:t>
      </w:r>
      <w:r>
        <w:rPr>
          <w:rFonts w:eastAsia="MingLiU;細明體" w:cs="Garamond" w:ascii="Garamond" w:hAnsi="Garamond"/>
          <w:i/>
          <w:sz w:val="22"/>
          <w:szCs w:val="22"/>
        </w:rPr>
        <w:t>Маньчжурия</w:t>
      </w:r>
      <w:r>
        <w:rPr>
          <w:rFonts w:eastAsia="MingLiU;細明體" w:cs="Garamond" w:ascii="Garamond" w:hAnsi="Garamond"/>
          <w:sz w:val="22"/>
          <w:szCs w:val="22"/>
        </w:rPr>
        <w:t>. Б</w:t>
      </w:r>
      <w:r>
        <w:rPr>
          <w:rFonts w:eastAsia="MingLiU;細明體" w:cs="Garamond" w:ascii="Garamond" w:hAnsi="Garamond"/>
          <w:sz w:val="22"/>
          <w:szCs w:val="22"/>
          <w:lang w:val="en-US"/>
        </w:rPr>
        <w:t>.</w:t>
      </w:r>
      <w:r>
        <w:rPr>
          <w:rFonts w:eastAsia="MingLiU;細明體" w:cs="Garamond" w:ascii="Garamond" w:hAnsi="Garamond"/>
          <w:sz w:val="22"/>
          <w:szCs w:val="22"/>
        </w:rPr>
        <w:t>м</w:t>
      </w:r>
      <w:r>
        <w:rPr>
          <w:rFonts w:eastAsia="MingLiU;細明體" w:cs="Garamond" w:ascii="Garamond" w:hAnsi="Garamond"/>
          <w:sz w:val="22"/>
          <w:szCs w:val="22"/>
          <w:lang w:val="en-US"/>
        </w:rPr>
        <w:t xml:space="preserve">., 1932 [Tulskiy S., Matrosov F. </w:t>
      </w:r>
      <w:r>
        <w:rPr>
          <w:rFonts w:eastAsia="MingLiU;細明體" w:cs="Garamond" w:ascii="Garamond" w:hAnsi="Garamond"/>
          <w:i/>
          <w:sz w:val="22"/>
          <w:szCs w:val="22"/>
          <w:lang w:val="en-US"/>
        </w:rPr>
        <w:t>Manchuria.</w:t>
      </w:r>
      <w:r>
        <w:rPr>
          <w:rFonts w:eastAsia="MingLiU;細明體" w:cs="Garamond" w:ascii="Garamond" w:hAnsi="Garamond"/>
          <w:sz w:val="22"/>
          <w:szCs w:val="22"/>
          <w:lang w:val="en-US"/>
        </w:rPr>
        <w:t xml:space="preserve"> S.l., 1932 (in</w:t>
      </w:r>
      <w:r>
        <w:rPr>
          <w:rFonts w:eastAsia="MingLiU;細明體" w:cs="Garamond" w:ascii="Garamond" w:hAnsi="Garamond"/>
          <w:sz w:val="22"/>
          <w:szCs w:val="22"/>
        </w:rPr>
        <w:t> </w:t>
      </w:r>
      <w:r>
        <w:rPr>
          <w:rFonts w:eastAsia="MingLiU;細明體" w:cs="Garamond" w:ascii="Garamond" w:hAnsi="Garamond"/>
          <w:sz w:val="22"/>
          <w:szCs w:val="22"/>
          <w:lang w:val="en-US"/>
        </w:rPr>
        <w:t xml:space="preserve">Russian)]. </w:t>
      </w:r>
    </w:p>
    <w:p>
      <w:pPr>
        <w:pStyle w:val="Normal"/>
        <w:ind w:start="720" w:end="-31" w:hanging="720"/>
        <w:jc w:val="both"/>
        <w:rPr/>
      </w:pPr>
      <w:r>
        <w:rPr>
          <w:rFonts w:eastAsia="MingLiU;細明體" w:cs="Garamond" w:ascii="Garamond" w:hAnsi="Garamond"/>
          <w:sz w:val="22"/>
          <w:szCs w:val="22"/>
          <w:lang w:val="en-US"/>
        </w:rPr>
        <w:t xml:space="preserve">Adachi K. </w:t>
      </w:r>
      <w:r>
        <w:rPr>
          <w:rFonts w:eastAsia="MingLiU;細明體" w:cs="Garamond" w:ascii="Garamond" w:hAnsi="Garamond"/>
          <w:i/>
          <w:sz w:val="22"/>
          <w:szCs w:val="22"/>
          <w:lang w:val="en-US"/>
        </w:rPr>
        <w:t>Manchuria: A Survey</w:t>
      </w:r>
      <w:r>
        <w:rPr>
          <w:rFonts w:eastAsia="MingLiU;細明體" w:cs="Garamond" w:ascii="Garamond" w:hAnsi="Garamond"/>
          <w:sz w:val="22"/>
          <w:szCs w:val="22"/>
          <w:lang w:val="en-US"/>
        </w:rPr>
        <w:t xml:space="preserve">. New York, 1925. </w:t>
      </w:r>
    </w:p>
    <w:p>
      <w:pPr>
        <w:pStyle w:val="Normal"/>
        <w:ind w:start="720" w:end="-31" w:hanging="720"/>
        <w:jc w:val="both"/>
        <w:rPr>
          <w:rFonts w:ascii="Garamond" w:hAnsi="Garamond" w:eastAsia="MingLiU;細明體" w:cs="Garamond"/>
          <w:sz w:val="22"/>
          <w:szCs w:val="22"/>
          <w:lang w:val="en-US"/>
        </w:rPr>
      </w:pPr>
      <w:r>
        <w:rPr>
          <w:rStyle w:val="Style19"/>
          <w:rFonts w:eastAsia="MingLiU;細明體" w:cs="Garamond" w:ascii="Garamond" w:hAnsi="Garamond"/>
          <w:b w:val="false"/>
          <w:sz w:val="22"/>
          <w:szCs w:val="22"/>
          <w:lang w:val="en-US"/>
        </w:rPr>
        <w:t>Fogel J. A.</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Life along the South Manchurian Railway: The Memoirs of Ito Takeo</w:t>
      </w:r>
      <w:r>
        <w:rPr>
          <w:rFonts w:eastAsia="MingLiU;細明體" w:cs="Garamond" w:ascii="Garamond" w:hAnsi="Garamond"/>
          <w:sz w:val="22"/>
          <w:szCs w:val="22"/>
          <w:lang w:val="en-US"/>
        </w:rPr>
        <w:t>. New York, 1988.</w:t>
      </w:r>
    </w:p>
    <w:p>
      <w:pPr>
        <w:pStyle w:val="Normal"/>
        <w:ind w:start="720" w:end="-31" w:hanging="720"/>
        <w:jc w:val="both"/>
        <w:rPr>
          <w:rFonts w:ascii="Garamond" w:hAnsi="Garamond" w:eastAsia="MingLiU;細明體" w:cs="Garamond"/>
          <w:sz w:val="22"/>
          <w:szCs w:val="22"/>
          <w:lang w:val="en-US"/>
        </w:rPr>
      </w:pPr>
      <w:r>
        <w:rPr>
          <w:rStyle w:val="Style18"/>
          <w:rFonts w:eastAsia="MingLiU;細明體" w:cs="Garamond" w:ascii="Garamond" w:hAnsi="Garamond"/>
          <w:sz w:val="22"/>
          <w:szCs w:val="22"/>
          <w:lang w:val="en-US"/>
        </w:rPr>
        <w:t xml:space="preserve">Ginsburg N. S. Manchurian Railway Development. </w:t>
      </w:r>
      <w:r>
        <w:rPr>
          <w:rStyle w:val="Style18"/>
          <w:rFonts w:eastAsia="MingLiU;細明體" w:cs="Garamond" w:ascii="Garamond" w:hAnsi="Garamond"/>
          <w:i/>
          <w:sz w:val="22"/>
          <w:szCs w:val="22"/>
          <w:lang w:val="en-US"/>
        </w:rPr>
        <w:t>The Far Eastern Quarterly</w:t>
      </w:r>
      <w:r>
        <w:rPr>
          <w:rStyle w:val="Style18"/>
          <w:rFonts w:eastAsia="MingLiU;細明體" w:cs="Garamond" w:ascii="Garamond" w:hAnsi="Garamond"/>
          <w:sz w:val="22"/>
          <w:szCs w:val="22"/>
          <w:lang w:val="en-US"/>
        </w:rPr>
        <w:t>. 1949. Vol. 8. No. 4. Pp. 398–411.</w:t>
      </w:r>
    </w:p>
    <w:p>
      <w:pPr>
        <w:pStyle w:val="Normal"/>
        <w:ind w:start="720" w:end="-31" w:hanging="720"/>
        <w:jc w:val="both"/>
        <w:rPr/>
      </w:pPr>
      <w:r>
        <w:rPr>
          <w:rFonts w:eastAsia="MingLiU;細明體" w:cs="Garamond" w:ascii="Garamond" w:hAnsi="Garamond"/>
          <w:sz w:val="22"/>
          <w:szCs w:val="22"/>
          <w:lang w:val="en-US"/>
        </w:rPr>
        <w:t xml:space="preserve">Matsusaka Y. T. Japan’s South Manchuria Railway Company in Northeast China, 1906–34. </w:t>
      </w:r>
      <w:r>
        <w:rPr>
          <w:rFonts w:eastAsia="MingLiU;細明體" w:cs="Garamond" w:ascii="Garamond" w:hAnsi="Garamond"/>
          <w:i/>
          <w:sz w:val="22"/>
          <w:szCs w:val="22"/>
          <w:lang w:val="en-US"/>
        </w:rPr>
        <w:t>Manchurian Railways and the Opening of China. An International History.</w:t>
      </w:r>
      <w:r>
        <w:rPr>
          <w:rFonts w:eastAsia="MingLiU;細明體" w:cs="Garamond" w:ascii="Garamond" w:hAnsi="Garamond"/>
          <w:sz w:val="22"/>
          <w:szCs w:val="22"/>
          <w:lang w:val="en-US"/>
        </w:rPr>
        <w:t xml:space="preserve"> New York, 2010. Pp. 37–58. </w:t>
      </w:r>
    </w:p>
    <w:p>
      <w:pPr>
        <w:pStyle w:val="Normal"/>
        <w:ind w:start="720" w:end="-31" w:hanging="720"/>
        <w:jc w:val="both"/>
        <w:rPr/>
      </w:pPr>
      <w:r>
        <w:rPr>
          <w:rFonts w:eastAsia="MingLiU;細明體" w:cs="Garamond" w:ascii="Garamond" w:hAnsi="Garamond"/>
          <w:sz w:val="22"/>
          <w:szCs w:val="22"/>
          <w:lang w:val="en-US"/>
        </w:rPr>
        <w:t xml:space="preserve">Kawakami K. K. </w:t>
      </w:r>
      <w:r>
        <w:rPr>
          <w:rFonts w:eastAsia="MingLiU;細明體" w:cs="Garamond" w:ascii="Garamond" w:hAnsi="Garamond"/>
          <w:iCs/>
          <w:sz w:val="22"/>
          <w:szCs w:val="22"/>
          <w:lang w:val="en-US"/>
        </w:rPr>
        <w:t>Manchurian Background I.</w:t>
      </w:r>
      <w:r>
        <w:rPr>
          <w:rFonts w:eastAsia="MingLiU;細明體" w:cs="Garamond" w:ascii="Garamond" w:hAnsi="Garamond"/>
          <w:sz w:val="22"/>
          <w:szCs w:val="22"/>
          <w:lang w:val="en-US"/>
        </w:rPr>
        <w:t xml:space="preserve"> </w:t>
      </w:r>
      <w:r>
        <w:rPr>
          <w:rFonts w:eastAsia="MingLiU;細明體" w:cs="Garamond" w:ascii="Garamond" w:hAnsi="Garamond"/>
          <w:i/>
          <w:iCs/>
          <w:sz w:val="22"/>
          <w:szCs w:val="22"/>
          <w:lang w:val="en-US"/>
        </w:rPr>
        <w:t>Pacific Affairs</w:t>
      </w:r>
      <w:r>
        <w:rPr>
          <w:rFonts w:eastAsia="MingLiU;細明體" w:cs="Garamond" w:ascii="Garamond" w:hAnsi="Garamond"/>
          <w:sz w:val="22"/>
          <w:szCs w:val="22"/>
          <w:lang w:val="en-US"/>
        </w:rPr>
        <w:t xml:space="preserve">. 1932. Vol. 5. No. 2. Pp. 111–130. </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i/>
          <w:sz w:val="22"/>
          <w:szCs w:val="22"/>
          <w:lang w:val="en-US"/>
        </w:rPr>
        <w:t>Manchuria: Land of Opportunities</w:t>
      </w:r>
      <w:r>
        <w:rPr>
          <w:rFonts w:eastAsia="MingLiU;細明體" w:cs="Garamond" w:ascii="Garamond" w:hAnsi="Garamond"/>
          <w:sz w:val="22"/>
          <w:szCs w:val="22"/>
          <w:lang w:val="en-US"/>
        </w:rPr>
        <w:t>. New York, 1924.</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t xml:space="preserve">Nakamura T. </w:t>
      </w:r>
      <w:r>
        <w:rPr>
          <w:rFonts w:eastAsia="MingLiU;細明體" w:cs="Garamond" w:ascii="Garamond" w:hAnsi="Garamond"/>
          <w:i/>
          <w:sz w:val="22"/>
          <w:szCs w:val="22"/>
          <w:lang w:val="en-US"/>
        </w:rPr>
        <w:t>Economic Development of Modern Japan.</w:t>
      </w:r>
      <w:r>
        <w:rPr>
          <w:rFonts w:eastAsia="MingLiU;細明體" w:cs="Garamond" w:ascii="Garamond" w:hAnsi="Garamond"/>
          <w:sz w:val="22"/>
          <w:szCs w:val="22"/>
          <w:lang w:val="en-US"/>
        </w:rPr>
        <w:t xml:space="preserve"> Tokyo, 1985.</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Асада</w:t>
      </w:r>
      <w:r>
        <w:rPr>
          <w:rFonts w:eastAsia="MingLiU;細明體" w:cs="Garamond" w:ascii="Garamond" w:hAnsi="Garamond"/>
          <w:sz w:val="22"/>
          <w:szCs w:val="22"/>
          <w:lang w:val="en-US"/>
        </w:rPr>
        <w:t xml:space="preserve"> </w:t>
      </w:r>
      <w:r>
        <w:rPr>
          <w:rFonts w:eastAsia="MingLiU;細明體" w:cs="Garamond" w:ascii="Garamond" w:hAnsi="Garamond"/>
          <w:sz w:val="22"/>
          <w:szCs w:val="22"/>
        </w:rPr>
        <w:t>Масафуми</w:t>
      </w:r>
      <w:r>
        <w:rPr>
          <w:rFonts w:eastAsia="MingLiU;細明體" w:cs="Garamond" w:ascii="Garamond" w:hAnsi="Garamond"/>
          <w:sz w:val="22"/>
          <w:szCs w:val="22"/>
          <w:lang w:val="en-US"/>
        </w:rPr>
        <w:t xml:space="preserve">. </w:t>
      </w:r>
      <w:r>
        <w:rPr>
          <w:rFonts w:eastAsia="MingLiU;細明體" w:cs="Garamond" w:ascii="Garamond" w:hAnsi="Garamond"/>
          <w:i/>
          <w:sz w:val="22"/>
          <w:szCs w:val="22"/>
        </w:rPr>
        <w:t>Маммо: Ниторотю:-но сайдзэнсэн</w:t>
      </w:r>
      <w:r>
        <w:rPr>
          <w:rFonts w:eastAsia="MingLiU;細明體" w:cs="Garamond" w:ascii="Garamond" w:hAnsi="Garamond"/>
          <w:sz w:val="22"/>
          <w:szCs w:val="22"/>
        </w:rPr>
        <w:t>. (</w:t>
      </w:r>
      <w:r>
        <w:rPr>
          <w:rFonts w:eastAsia="MingLiU;細明體" w:cs="Garamond" w:ascii="Garamond" w:hAnsi="Garamond"/>
          <w:i/>
          <w:sz w:val="22"/>
          <w:szCs w:val="22"/>
        </w:rPr>
        <w:t>Маньчжуро-Монголия. Передовая Японии, России, Китая</w:t>
      </w:r>
      <w:r>
        <w:rPr>
          <w:rFonts w:eastAsia="MingLiU;細明體" w:cs="Garamond" w:ascii="Garamond" w:hAnsi="Garamond"/>
          <w:sz w:val="22"/>
          <w:szCs w:val="22"/>
        </w:rPr>
        <w:t>). Коданся, 2014 [</w:t>
      </w:r>
      <w:r>
        <w:rPr>
          <w:rFonts w:eastAsia="MingLiU;細明體" w:cs="Garamond" w:ascii="Garamond" w:hAnsi="Garamond"/>
          <w:sz w:val="22"/>
          <w:szCs w:val="22"/>
          <w:lang w:val="en-US"/>
        </w:rPr>
        <w:t>Asada</w:t>
      </w:r>
      <w:r>
        <w:rPr>
          <w:rFonts w:eastAsia="MingLiU;細明體" w:cs="Garamond" w:ascii="Garamond" w:hAnsi="Garamond"/>
          <w:sz w:val="22"/>
          <w:szCs w:val="22"/>
        </w:rPr>
        <w:t xml:space="preserve"> </w:t>
      </w:r>
      <w:r>
        <w:rPr>
          <w:rFonts w:eastAsia="MingLiU;細明體" w:cs="Garamond" w:ascii="Garamond" w:hAnsi="Garamond"/>
          <w:sz w:val="22"/>
          <w:szCs w:val="22"/>
          <w:lang w:val="en-US"/>
        </w:rPr>
        <w:t>Masafumi</w:t>
      </w:r>
      <w:r>
        <w:rPr>
          <w:rFonts w:eastAsia="MingLiU;細明體" w:cs="Garamond" w:ascii="Garamond" w:hAnsi="Garamond"/>
          <w:sz w:val="22"/>
          <w:szCs w:val="22"/>
        </w:rPr>
        <w:t xml:space="preserve">. </w:t>
      </w:r>
      <w:r>
        <w:rPr>
          <w:rFonts w:eastAsia="MingLiU;細明體" w:cs="Garamond" w:ascii="Garamond" w:hAnsi="Garamond"/>
          <w:i/>
          <w:sz w:val="22"/>
          <w:szCs w:val="22"/>
          <w:lang w:val="en-US"/>
        </w:rPr>
        <w:t>Mammo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nichirochu</w:t>
      </w:r>
      <w:r>
        <w:rPr>
          <w:rFonts w:eastAsia="MingLiU;細明體" w:cs="Garamond" w:ascii="Garamond" w:hAnsi="Garamond"/>
          <w:i/>
          <w:sz w:val="22"/>
          <w:szCs w:val="22"/>
        </w:rPr>
        <w:t>:-</w:t>
      </w:r>
      <w:r>
        <w:rPr>
          <w:rFonts w:eastAsia="MingLiU;細明體" w:cs="Garamond" w:ascii="Garamond" w:hAnsi="Garamond"/>
          <w:i/>
          <w:sz w:val="22"/>
          <w:szCs w:val="22"/>
          <w:lang w:val="en-US"/>
        </w:rPr>
        <w:t>no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saizensen</w:t>
      </w:r>
      <w:r>
        <w:rPr>
          <w:rFonts w:eastAsia="MingLiU;細明體" w:cs="Garamond" w:ascii="Garamond" w:hAnsi="Garamond"/>
          <w:sz w:val="22"/>
          <w:szCs w:val="22"/>
        </w:rPr>
        <w:t xml:space="preserve">. </w:t>
      </w:r>
      <w:r>
        <w:rPr>
          <w:rFonts w:eastAsia="MingLiU;細明體" w:cs="Garamond" w:ascii="Garamond" w:hAnsi="Garamond"/>
          <w:sz w:val="22"/>
          <w:szCs w:val="22"/>
          <w:lang w:val="en-US"/>
        </w:rPr>
        <w:t>Kodansha</w:t>
      </w:r>
      <w:r>
        <w:rPr>
          <w:rFonts w:eastAsia="MingLiU;細明體" w:cs="Garamond" w:ascii="Garamond" w:hAnsi="Garamond"/>
          <w:sz w:val="22"/>
          <w:szCs w:val="22"/>
        </w:rPr>
        <w:t>, 2014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Japanese</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 xml:space="preserve">Мияваки Дзюнко. </w:t>
      </w:r>
      <w:r>
        <w:rPr>
          <w:rFonts w:eastAsia="MingLiU;細明體" w:cs="Garamond" w:ascii="Garamond" w:hAnsi="Garamond"/>
          <w:i/>
          <w:sz w:val="22"/>
          <w:szCs w:val="22"/>
        </w:rPr>
        <w:t>Сэкайси-но нака-но мансютэйкоку-то нихон</w:t>
      </w:r>
      <w:r>
        <w:rPr>
          <w:rFonts w:eastAsia="MingLiU;細明體" w:cs="Garamond" w:ascii="Garamond" w:hAnsi="Garamond"/>
          <w:sz w:val="22"/>
          <w:szCs w:val="22"/>
        </w:rPr>
        <w:t xml:space="preserve"> (</w:t>
      </w:r>
      <w:r>
        <w:rPr>
          <w:rFonts w:eastAsia="MingLiU;細明體" w:cs="Garamond" w:ascii="Garamond" w:hAnsi="Garamond"/>
          <w:i/>
          <w:sz w:val="22"/>
          <w:szCs w:val="22"/>
        </w:rPr>
        <w:t>Маньчжурская империя и Япония в мировой истории</w:t>
      </w:r>
      <w:r>
        <w:rPr>
          <w:rFonts w:eastAsia="MingLiU;細明體" w:cs="Garamond" w:ascii="Garamond" w:hAnsi="Garamond"/>
          <w:sz w:val="22"/>
          <w:szCs w:val="22"/>
        </w:rPr>
        <w:t>). Токио, 2010 [</w:t>
      </w:r>
      <w:r>
        <w:rPr>
          <w:rFonts w:eastAsia="MingLiU;細明體" w:cs="Garamond" w:ascii="Garamond" w:hAnsi="Garamond"/>
          <w:sz w:val="22"/>
          <w:szCs w:val="22"/>
          <w:lang w:val="en-US"/>
        </w:rPr>
        <w:t>Miyawaki</w:t>
      </w:r>
      <w:r>
        <w:rPr>
          <w:rFonts w:eastAsia="MingLiU;細明體" w:cs="Garamond" w:ascii="Garamond" w:hAnsi="Garamond"/>
          <w:sz w:val="22"/>
          <w:szCs w:val="22"/>
        </w:rPr>
        <w:t xml:space="preserve"> </w:t>
      </w:r>
      <w:r>
        <w:rPr>
          <w:rFonts w:eastAsia="MingLiU;細明體" w:cs="Garamond" w:ascii="Garamond" w:hAnsi="Garamond"/>
          <w:sz w:val="22"/>
          <w:szCs w:val="22"/>
          <w:lang w:val="en-US"/>
        </w:rPr>
        <w:t>Junko</w:t>
      </w:r>
      <w:r>
        <w:rPr>
          <w:rFonts w:eastAsia="MingLiU;細明體" w:cs="Garamond" w:ascii="Garamond" w:hAnsi="Garamond"/>
          <w:sz w:val="22"/>
          <w:szCs w:val="22"/>
        </w:rPr>
        <w:t xml:space="preserve">. </w:t>
      </w:r>
      <w:r>
        <w:rPr>
          <w:rFonts w:eastAsia="MingLiU;細明體" w:cs="Garamond" w:ascii="Garamond" w:hAnsi="Garamond"/>
          <w:i/>
          <w:sz w:val="22"/>
          <w:szCs w:val="22"/>
          <w:lang w:val="en-US"/>
        </w:rPr>
        <w:t>Sekaishi</w:t>
      </w:r>
      <w:r>
        <w:rPr>
          <w:rFonts w:eastAsia="MingLiU;細明體" w:cs="Garamond" w:ascii="Garamond" w:hAnsi="Garamond"/>
          <w:i/>
          <w:sz w:val="22"/>
          <w:szCs w:val="22"/>
        </w:rPr>
        <w:t>-</w:t>
      </w:r>
      <w:r>
        <w:rPr>
          <w:rFonts w:eastAsia="MingLiU;細明體" w:cs="Garamond" w:ascii="Garamond" w:hAnsi="Garamond"/>
          <w:i/>
          <w:sz w:val="22"/>
          <w:szCs w:val="22"/>
          <w:lang w:val="en-US"/>
        </w:rPr>
        <w:t>no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naka</w:t>
      </w:r>
      <w:r>
        <w:rPr>
          <w:rFonts w:eastAsia="MingLiU;細明體" w:cs="Garamond" w:ascii="Garamond" w:hAnsi="Garamond"/>
          <w:i/>
          <w:sz w:val="22"/>
          <w:szCs w:val="22"/>
        </w:rPr>
        <w:t>-</w:t>
      </w:r>
      <w:r>
        <w:rPr>
          <w:rFonts w:eastAsia="MingLiU;細明體" w:cs="Garamond" w:ascii="Garamond" w:hAnsi="Garamond"/>
          <w:i/>
          <w:sz w:val="22"/>
          <w:szCs w:val="22"/>
          <w:lang w:val="en-US"/>
        </w:rPr>
        <w:t>no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manshu</w:t>
      </w:r>
      <w:r>
        <w:rPr>
          <w:rFonts w:eastAsia="MingLiU;細明體" w:cs="Garamond" w:ascii="Garamond" w:hAnsi="Garamond"/>
          <w:i/>
          <w:sz w:val="22"/>
          <w:szCs w:val="22"/>
        </w:rPr>
        <w:t>:</w:t>
      </w:r>
      <w:r>
        <w:rPr>
          <w:rFonts w:eastAsia="MingLiU;細明體" w:cs="Garamond" w:ascii="Garamond" w:hAnsi="Garamond"/>
          <w:i/>
          <w:sz w:val="22"/>
          <w:szCs w:val="22"/>
          <w:lang w:val="en-US"/>
        </w:rPr>
        <w:t>teikoku</w:t>
      </w:r>
      <w:r>
        <w:rPr>
          <w:rFonts w:eastAsia="MingLiU;細明體" w:cs="Garamond" w:ascii="Garamond" w:hAnsi="Garamond"/>
          <w:i/>
          <w:sz w:val="22"/>
          <w:szCs w:val="22"/>
        </w:rPr>
        <w:t>-</w:t>
      </w:r>
      <w:r>
        <w:rPr>
          <w:rFonts w:eastAsia="MingLiU;細明體" w:cs="Garamond" w:ascii="Garamond" w:hAnsi="Garamond"/>
          <w:i/>
          <w:sz w:val="22"/>
          <w:szCs w:val="22"/>
          <w:lang w:val="en-US"/>
        </w:rPr>
        <w:t>to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nihon</w:t>
      </w:r>
      <w:r>
        <w:rPr>
          <w:rFonts w:eastAsia="MingLiU;細明體" w:cs="Garamond" w:ascii="Garamond" w:hAnsi="Garamond"/>
          <w:sz w:val="22"/>
          <w:szCs w:val="22"/>
        </w:rPr>
        <w:t xml:space="preserve">. </w:t>
      </w:r>
      <w:r>
        <w:rPr>
          <w:rFonts w:eastAsia="MingLiU;細明體" w:cs="Garamond" w:ascii="Garamond" w:hAnsi="Garamond"/>
          <w:sz w:val="22"/>
          <w:szCs w:val="22"/>
          <w:lang w:val="en-US"/>
        </w:rPr>
        <w:t>Tokyo</w:t>
      </w:r>
      <w:r>
        <w:rPr>
          <w:rFonts w:eastAsia="MingLiU;細明體" w:cs="Garamond" w:ascii="Garamond" w:hAnsi="Garamond"/>
          <w:sz w:val="22"/>
          <w:szCs w:val="22"/>
        </w:rPr>
        <w:t>, 2015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Japanese</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sz w:val="22"/>
          <w:szCs w:val="22"/>
        </w:rPr>
        <w:t xml:space="preserve">Мияваки Дзюнко, Окада Хидэхиро. </w:t>
      </w:r>
      <w:r>
        <w:rPr>
          <w:rFonts w:eastAsia="MingLiU;細明體" w:cs="Garamond" w:ascii="Garamond" w:hAnsi="Garamond"/>
          <w:i/>
          <w:sz w:val="22"/>
          <w:szCs w:val="22"/>
        </w:rPr>
        <w:t>Дзидзицу-но мансю:-си [1894–1956]</w:t>
      </w:r>
      <w:r>
        <w:rPr>
          <w:rFonts w:eastAsia="MingLiU;細明體" w:cs="Garamond" w:ascii="Garamond" w:hAnsi="Garamond"/>
          <w:sz w:val="22"/>
          <w:szCs w:val="22"/>
        </w:rPr>
        <w:t xml:space="preserve"> (</w:t>
      </w:r>
      <w:r>
        <w:rPr>
          <w:rFonts w:eastAsia="MingLiU;細明體" w:cs="Garamond" w:ascii="Garamond" w:hAnsi="Garamond"/>
          <w:i/>
          <w:sz w:val="22"/>
          <w:szCs w:val="22"/>
        </w:rPr>
        <w:t>Настоящая история Маньчжурии [1894–1956]</w:t>
      </w:r>
      <w:r>
        <w:rPr>
          <w:rFonts w:eastAsia="MingLiU;細明體" w:cs="Garamond" w:ascii="Garamond" w:hAnsi="Garamond"/>
          <w:sz w:val="22"/>
          <w:szCs w:val="22"/>
        </w:rPr>
        <w:t>). Токио, 2013 [</w:t>
      </w:r>
      <w:r>
        <w:rPr>
          <w:rFonts w:eastAsia="MingLiU;細明體" w:cs="Garamond" w:ascii="Garamond" w:hAnsi="Garamond"/>
          <w:sz w:val="22"/>
          <w:szCs w:val="22"/>
          <w:lang w:val="en-US"/>
        </w:rPr>
        <w:t>Miyawaki</w:t>
      </w:r>
      <w:r>
        <w:rPr>
          <w:rFonts w:eastAsia="MingLiU;細明體" w:cs="Garamond" w:ascii="Garamond" w:hAnsi="Garamond"/>
          <w:sz w:val="22"/>
          <w:szCs w:val="22"/>
        </w:rPr>
        <w:t xml:space="preserve"> </w:t>
      </w:r>
      <w:r>
        <w:rPr>
          <w:rFonts w:eastAsia="MingLiU;細明體" w:cs="Garamond" w:ascii="Garamond" w:hAnsi="Garamond"/>
          <w:sz w:val="22"/>
          <w:szCs w:val="22"/>
          <w:lang w:val="en-US"/>
        </w:rPr>
        <w:t>Junko</w:t>
      </w:r>
      <w:r>
        <w:rPr>
          <w:rFonts w:eastAsia="MingLiU;細明體" w:cs="Garamond" w:ascii="Garamond" w:hAnsi="Garamond"/>
          <w:sz w:val="22"/>
          <w:szCs w:val="22"/>
        </w:rPr>
        <w:t xml:space="preserve">. </w:t>
      </w:r>
      <w:r>
        <w:rPr>
          <w:rFonts w:eastAsia="MingLiU;細明體" w:cs="Garamond" w:ascii="Garamond" w:hAnsi="Garamond"/>
          <w:i/>
          <w:sz w:val="22"/>
          <w:szCs w:val="22"/>
          <w:lang w:val="en-US"/>
        </w:rPr>
        <w:t>Zizitsu</w:t>
      </w:r>
      <w:r>
        <w:rPr>
          <w:rFonts w:eastAsia="MingLiU;細明體" w:cs="Garamond" w:ascii="Garamond" w:hAnsi="Garamond"/>
          <w:i/>
          <w:sz w:val="22"/>
          <w:szCs w:val="22"/>
        </w:rPr>
        <w:t>-</w:t>
      </w:r>
      <w:r>
        <w:rPr>
          <w:rFonts w:eastAsia="MingLiU;細明體" w:cs="Garamond" w:ascii="Garamond" w:hAnsi="Garamond"/>
          <w:i/>
          <w:sz w:val="22"/>
          <w:szCs w:val="22"/>
          <w:lang w:val="en-US"/>
        </w:rPr>
        <w:t>no</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manshu</w:t>
      </w:r>
      <w:r>
        <w:rPr>
          <w:rFonts w:eastAsia="MingLiU;細明體" w:cs="Garamond" w:ascii="Garamond" w:hAnsi="Garamond"/>
          <w:i/>
          <w:sz w:val="22"/>
          <w:szCs w:val="22"/>
        </w:rPr>
        <w:t>:-</w:t>
      </w:r>
      <w:r>
        <w:rPr>
          <w:rFonts w:eastAsia="MingLiU;細明體" w:cs="Garamond" w:ascii="Garamond" w:hAnsi="Garamond"/>
          <w:i/>
          <w:sz w:val="22"/>
          <w:szCs w:val="22"/>
          <w:lang w:val="en-US"/>
        </w:rPr>
        <w:t>shi</w:t>
      </w:r>
      <w:r>
        <w:rPr>
          <w:rFonts w:eastAsia="MingLiU;細明體" w:cs="Garamond" w:ascii="Garamond" w:hAnsi="Garamond"/>
          <w:i/>
          <w:sz w:val="22"/>
          <w:szCs w:val="22"/>
        </w:rPr>
        <w:t xml:space="preserve"> [1894–1956]</w:t>
      </w:r>
      <w:r>
        <w:rPr>
          <w:rFonts w:eastAsia="MingLiU;細明體" w:cs="Garamond" w:ascii="Garamond" w:hAnsi="Garamond"/>
          <w:sz w:val="22"/>
          <w:szCs w:val="22"/>
        </w:rPr>
        <w:t xml:space="preserve">. </w:t>
      </w:r>
      <w:r>
        <w:rPr>
          <w:rFonts w:eastAsia="MingLiU;細明體" w:cs="Garamond" w:ascii="Garamond" w:hAnsi="Garamond"/>
          <w:sz w:val="22"/>
          <w:szCs w:val="22"/>
          <w:lang w:val="en-US"/>
        </w:rPr>
        <w:t>Tokyo</w:t>
      </w:r>
      <w:r>
        <w:rPr>
          <w:rFonts w:eastAsia="MingLiU;細明體" w:cs="Garamond" w:ascii="Garamond" w:hAnsi="Garamond"/>
          <w:sz w:val="22"/>
          <w:szCs w:val="22"/>
        </w:rPr>
        <w:t>, 2013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Japanese</w:t>
      </w:r>
      <w:r>
        <w:rPr>
          <w:rFonts w:eastAsia="MingLiU;細明體" w:cs="Garamond" w:ascii="Garamond" w:hAnsi="Garamond"/>
          <w:sz w:val="22"/>
          <w:szCs w:val="22"/>
        </w:rPr>
        <w:t>)].</w:t>
      </w:r>
    </w:p>
    <w:p>
      <w:pPr>
        <w:pStyle w:val="Normal"/>
        <w:ind w:start="720" w:end="-31" w:hanging="720"/>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rPr>
      </w:pPr>
      <w:r>
        <w:rPr>
          <w:rFonts w:eastAsia="MingLiU;細明體" w:cs="Garamond" w:ascii="Garamond" w:hAnsi="Garamond"/>
          <w:sz w:val="24"/>
          <w:szCs w:val="24"/>
        </w:rPr>
        <w:t xml:space="preserve">Электронные ресурсы / </w:t>
      </w:r>
      <w:r>
        <w:rPr>
          <w:rFonts w:eastAsia="MingLiU;細明體" w:cs="Garamond" w:ascii="Garamond" w:hAnsi="Garamond"/>
          <w:sz w:val="24"/>
          <w:szCs w:val="24"/>
          <w:lang w:val="en-US"/>
        </w:rPr>
        <w:t>Electronic</w:t>
      </w:r>
      <w:r>
        <w:rPr>
          <w:rFonts w:eastAsia="MingLiU;細明體" w:cs="Garamond" w:ascii="Garamond" w:hAnsi="Garamond"/>
          <w:sz w:val="24"/>
          <w:szCs w:val="24"/>
        </w:rPr>
        <w:t xml:space="preserve"> </w:t>
      </w:r>
      <w:r>
        <w:rPr>
          <w:rFonts w:eastAsia="MingLiU;細明體" w:cs="Garamond" w:ascii="Garamond" w:hAnsi="Garamond"/>
          <w:sz w:val="24"/>
          <w:szCs w:val="24"/>
          <w:lang w:val="en-US"/>
        </w:rPr>
        <w:t>sources</w:t>
      </w:r>
    </w:p>
    <w:p>
      <w:pPr>
        <w:pStyle w:val="Normal"/>
        <w:ind w:start="720" w:end="-31" w:hanging="720"/>
        <w:jc w:val="center"/>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sz w:val="22"/>
          <w:szCs w:val="22"/>
          <w:lang w:val="en-US"/>
        </w:rPr>
        <w:t>Chen</w:t>
      </w:r>
      <w:r>
        <w:rPr>
          <w:rFonts w:eastAsia="MingLiU;細明體" w:cs="Garamond" w:ascii="Garamond" w:hAnsi="Garamond"/>
          <w:sz w:val="22"/>
          <w:szCs w:val="22"/>
        </w:rPr>
        <w:t xml:space="preserve"> </w:t>
      </w:r>
      <w:r>
        <w:rPr>
          <w:rFonts w:eastAsia="MingLiU;細明體" w:cs="Garamond" w:ascii="Garamond" w:hAnsi="Garamond"/>
          <w:sz w:val="22"/>
          <w:szCs w:val="22"/>
          <w:lang w:val="en-US"/>
        </w:rPr>
        <w:t>Tsu</w:t>
      </w:r>
      <w:r>
        <w:rPr>
          <w:rFonts w:eastAsia="MingLiU;細明體" w:cs="Garamond" w:ascii="Garamond" w:hAnsi="Garamond"/>
          <w:sz w:val="22"/>
          <w:szCs w:val="22"/>
        </w:rPr>
        <w:t>-</w:t>
      </w:r>
      <w:r>
        <w:rPr>
          <w:rFonts w:eastAsia="MingLiU;細明體" w:cs="Garamond" w:ascii="Garamond" w:hAnsi="Garamond"/>
          <w:sz w:val="22"/>
          <w:szCs w:val="22"/>
          <w:lang w:val="en-US"/>
        </w:rPr>
        <w:t>yu</w:t>
      </w:r>
      <w:r>
        <w:rPr>
          <w:rFonts w:eastAsia="MingLiU;細明體" w:cs="Garamond" w:ascii="Garamond" w:hAnsi="Garamond"/>
          <w:sz w:val="22"/>
          <w:szCs w:val="22"/>
        </w:rPr>
        <w:t xml:space="preserve">. </w:t>
      </w:r>
      <w:r>
        <w:rPr>
          <w:rFonts w:eastAsia="MingLiU;細明體" w:cs="Garamond" w:ascii="Garamond" w:hAnsi="Garamond"/>
          <w:sz w:val="22"/>
          <w:szCs w:val="22"/>
          <w:lang w:val="en-US"/>
        </w:rPr>
        <w:t xml:space="preserve">The South Manchurian Railway Company and the Mining Industry: The Case of the Fushun Coal Mine. </w:t>
      </w:r>
      <w:r>
        <w:rPr>
          <w:rFonts w:eastAsia="MingLiU;細明體" w:cs="Garamond" w:ascii="Garamond" w:hAnsi="Garamond"/>
          <w:i/>
          <w:sz w:val="22"/>
          <w:szCs w:val="22"/>
          <w:lang w:val="en-US"/>
        </w:rPr>
        <w:t>Cross-Currents: East Asian History and Culture Review</w:t>
      </w:r>
      <w:r>
        <w:rPr>
          <w:rFonts w:eastAsia="MingLiU;細明體" w:cs="Garamond" w:ascii="Garamond" w:hAnsi="Garamond"/>
          <w:sz w:val="22"/>
          <w:szCs w:val="22"/>
          <w:lang w:val="en-US"/>
        </w:rPr>
        <w:t>. 2015. No. 16. Pp. 77–101. URL</w:t>
      </w:r>
      <w:r>
        <w:rPr>
          <w:rFonts w:eastAsia="MingLiU;細明體" w:cs="Garamond" w:ascii="Garamond" w:hAnsi="Garamond"/>
          <w:sz w:val="22"/>
          <w:szCs w:val="22"/>
        </w:rPr>
        <w:t xml:space="preserve">: https://cross-currents.berkeley.edu/e-journal/issue-16/chen </w:t>
      </w:r>
      <w:r>
        <w:rPr>
          <w:rStyle w:val="Style18"/>
          <w:rFonts w:eastAsia="MingLiU;細明體" w:cs="Garamond" w:ascii="Garamond" w:hAnsi="Garamond"/>
          <w:sz w:val="22"/>
          <w:szCs w:val="22"/>
        </w:rPr>
        <w:t>(дата обращения 09.04.2020).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lang w:val="en-US"/>
        </w:rPr>
        <w:t xml:space="preserve">Noguchi M., Boyns T. </w:t>
      </w:r>
      <w:r>
        <w:rPr>
          <w:rFonts w:eastAsia="MingLiU;細明體" w:cs="Garamond" w:ascii="Garamond" w:hAnsi="Garamond"/>
          <w:i/>
          <w:sz w:val="22"/>
          <w:szCs w:val="22"/>
          <w:lang w:val="en-US"/>
        </w:rPr>
        <w:t>The South Manchuria Railway Company: An Accounting and Financial History, 1907–1943</w:t>
      </w:r>
      <w:r>
        <w:rPr>
          <w:rFonts w:eastAsia="MingLiU;細明體" w:cs="Garamond" w:ascii="Garamond" w:hAnsi="Garamond"/>
          <w:sz w:val="22"/>
          <w:szCs w:val="22"/>
          <w:lang w:val="en-US"/>
        </w:rPr>
        <w:t xml:space="preserve">. Kobe: Kobe University, Discussion Paper Series, </w:t>
      </w:r>
      <w:r>
        <w:rPr>
          <w:rFonts w:cs="Garamond" w:ascii="Garamond" w:hAnsi="Garamond"/>
          <w:sz w:val="22"/>
          <w:szCs w:val="22"/>
          <w:lang w:val="en-US"/>
        </w:rPr>
        <w:t xml:space="preserve">Research Institute of Economics and Business Administration, </w:t>
      </w:r>
      <w:r>
        <w:rPr>
          <w:rFonts w:eastAsia="MingLiU;細明體" w:cs="Garamond" w:ascii="Garamond" w:hAnsi="Garamond"/>
          <w:sz w:val="22"/>
          <w:szCs w:val="22"/>
          <w:lang w:val="en-US"/>
        </w:rPr>
        <w:t>2013. URL</w:t>
      </w:r>
      <w:r>
        <w:rPr>
          <w:rFonts w:eastAsia="MingLiU;細明體" w:cs="Garamond" w:ascii="Garamond" w:hAnsi="Garamond"/>
          <w:sz w:val="22"/>
          <w:szCs w:val="22"/>
        </w:rPr>
        <w:t xml:space="preserve">: </w:t>
      </w:r>
      <w:r>
        <w:rPr>
          <w:rFonts w:eastAsia="Yu Gothic Light" w:cs="Garamond" w:ascii="Garamond" w:hAnsi="Garamond"/>
          <w:sz w:val="22"/>
          <w:szCs w:val="22"/>
          <w:lang w:val="en-US"/>
        </w:rPr>
        <w:t>https</w:t>
      </w:r>
      <w:r>
        <w:rPr>
          <w:rFonts w:eastAsia="Yu Gothic Light" w:cs="Garamond" w:ascii="Garamond" w:hAnsi="Garamond"/>
          <w:sz w:val="22"/>
          <w:szCs w:val="22"/>
        </w:rPr>
        <w:t>://</w:t>
      </w:r>
      <w:r>
        <w:rPr>
          <w:rFonts w:eastAsia="Yu Gothic Light" w:cs="Garamond" w:ascii="Garamond" w:hAnsi="Garamond"/>
          <w:sz w:val="22"/>
          <w:szCs w:val="22"/>
          <w:lang w:val="en-US"/>
        </w:rPr>
        <w:t>www</w:t>
      </w:r>
      <w:r>
        <w:rPr>
          <w:rFonts w:eastAsia="Yu Gothic Light" w:cs="Garamond" w:ascii="Garamond" w:hAnsi="Garamond"/>
          <w:sz w:val="22"/>
          <w:szCs w:val="22"/>
        </w:rPr>
        <w:t>.</w:t>
      </w:r>
      <w:r>
        <w:rPr>
          <w:rFonts w:eastAsia="Yu Gothic Light" w:cs="Garamond" w:ascii="Garamond" w:hAnsi="Garamond"/>
          <w:sz w:val="22"/>
          <w:szCs w:val="22"/>
          <w:lang w:val="en-US"/>
        </w:rPr>
        <w:t>rieb</w:t>
      </w:r>
      <w:r>
        <w:rPr>
          <w:rFonts w:eastAsia="Yu Gothic Light" w:cs="Garamond" w:ascii="Garamond" w:hAnsi="Garamond"/>
          <w:sz w:val="22"/>
          <w:szCs w:val="22"/>
        </w:rPr>
        <w:t>.</w:t>
      </w:r>
      <w:r>
        <w:rPr>
          <w:rFonts w:eastAsia="Yu Gothic Light" w:cs="Garamond" w:ascii="Garamond" w:hAnsi="Garamond"/>
          <w:sz w:val="22"/>
          <w:szCs w:val="22"/>
          <w:lang w:val="en-US"/>
        </w:rPr>
        <w:t>kobe</w:t>
      </w:r>
      <w:r>
        <w:rPr>
          <w:rFonts w:eastAsia="Yu Gothic Light" w:cs="Garamond" w:ascii="Garamond" w:hAnsi="Garamond"/>
          <w:sz w:val="22"/>
          <w:szCs w:val="22"/>
        </w:rPr>
        <w:t>-</w:t>
      </w:r>
      <w:r>
        <w:rPr>
          <w:rFonts w:eastAsia="Yu Gothic Light" w:cs="Garamond" w:ascii="Garamond" w:hAnsi="Garamond"/>
          <w:sz w:val="22"/>
          <w:szCs w:val="22"/>
          <w:lang w:val="en-US"/>
        </w:rPr>
        <w:t>u</w:t>
      </w:r>
      <w:r>
        <w:rPr>
          <w:rFonts w:eastAsia="Yu Gothic Light" w:cs="Garamond" w:ascii="Garamond" w:hAnsi="Garamond"/>
          <w:sz w:val="22"/>
          <w:szCs w:val="22"/>
        </w:rPr>
        <w:t>.</w:t>
      </w:r>
      <w:r>
        <w:rPr>
          <w:rFonts w:eastAsia="Yu Gothic Light" w:cs="Garamond" w:ascii="Garamond" w:hAnsi="Garamond"/>
          <w:sz w:val="22"/>
          <w:szCs w:val="22"/>
          <w:lang w:val="en-US"/>
        </w:rPr>
        <w:t>ac</w:t>
      </w:r>
      <w:r>
        <w:rPr>
          <w:rFonts w:eastAsia="Yu Gothic Light" w:cs="Garamond" w:ascii="Garamond" w:hAnsi="Garamond"/>
          <w:sz w:val="22"/>
          <w:szCs w:val="22"/>
        </w:rPr>
        <w:t>.</w:t>
      </w:r>
      <w:r>
        <w:rPr>
          <w:rFonts w:eastAsia="Yu Gothic Light" w:cs="Garamond" w:ascii="Garamond" w:hAnsi="Garamond"/>
          <w:sz w:val="22"/>
          <w:szCs w:val="22"/>
          <w:lang w:val="en-US"/>
        </w:rPr>
        <w:t>jp</w:t>
      </w:r>
      <w:r>
        <w:rPr>
          <w:rFonts w:eastAsia="Yu Gothic Light" w:cs="Garamond" w:ascii="Garamond" w:hAnsi="Garamond"/>
          <w:sz w:val="22"/>
          <w:szCs w:val="22"/>
        </w:rPr>
        <w:t>/</w:t>
      </w:r>
      <w:r>
        <w:rPr>
          <w:rFonts w:eastAsia="Yu Gothic Light" w:cs="Garamond" w:ascii="Garamond" w:hAnsi="Garamond"/>
          <w:sz w:val="22"/>
          <w:szCs w:val="22"/>
          <w:lang w:val="en-US"/>
        </w:rPr>
        <w:t>academic</w:t>
      </w:r>
      <w:r>
        <w:rPr>
          <w:rFonts w:eastAsia="Yu Gothic Light" w:cs="Garamond" w:ascii="Garamond" w:hAnsi="Garamond"/>
          <w:sz w:val="22"/>
          <w:szCs w:val="22"/>
        </w:rPr>
        <w:t>/</w:t>
      </w:r>
      <w:r>
        <w:rPr>
          <w:rFonts w:eastAsia="Yu Gothic Light" w:cs="Garamond" w:ascii="Garamond" w:hAnsi="Garamond"/>
          <w:sz w:val="22"/>
          <w:szCs w:val="22"/>
          <w:lang w:val="en-US"/>
        </w:rPr>
        <w:t>ra</w:t>
      </w:r>
      <w:r>
        <w:rPr>
          <w:rFonts w:eastAsia="Yu Gothic Light" w:cs="Garamond" w:ascii="Garamond" w:hAnsi="Garamond"/>
          <w:sz w:val="22"/>
          <w:szCs w:val="22"/>
        </w:rPr>
        <w:t>/</w:t>
      </w:r>
      <w:r>
        <w:rPr>
          <w:rFonts w:eastAsia="Yu Gothic Light" w:cs="Garamond" w:ascii="Garamond" w:hAnsi="Garamond"/>
          <w:sz w:val="22"/>
          <w:szCs w:val="22"/>
          <w:lang w:val="en-US"/>
        </w:rPr>
        <w:t>dp</w:t>
      </w:r>
      <w:r>
        <w:rPr>
          <w:rFonts w:eastAsia="Yu Gothic Light" w:cs="Garamond" w:ascii="Garamond" w:hAnsi="Garamond"/>
          <w:sz w:val="22"/>
          <w:szCs w:val="22"/>
        </w:rPr>
        <w:t>/</w:t>
      </w:r>
      <w:r>
        <w:rPr>
          <w:rFonts w:eastAsia="Yu Gothic Light" w:cs="Garamond" w:ascii="Garamond" w:hAnsi="Garamond"/>
          <w:sz w:val="22"/>
          <w:szCs w:val="22"/>
          <w:lang w:val="en-US"/>
        </w:rPr>
        <w:t>English</w:t>
      </w:r>
      <w:r>
        <w:rPr>
          <w:rFonts w:eastAsia="Yu Gothic Light" w:cs="Garamond" w:ascii="Garamond" w:hAnsi="Garamond"/>
          <w:sz w:val="22"/>
          <w:szCs w:val="22"/>
        </w:rPr>
        <w:t>/</w:t>
      </w:r>
      <w:r>
        <w:rPr>
          <w:rFonts w:eastAsia="Yu Gothic Light" w:cs="Garamond" w:ascii="Garamond" w:hAnsi="Garamond"/>
          <w:sz w:val="22"/>
          <w:szCs w:val="22"/>
          <w:lang w:val="en-US"/>
        </w:rPr>
        <w:t>DP</w:t>
      </w:r>
      <w:r>
        <w:rPr>
          <w:rFonts w:eastAsia="Yu Gothic Light" w:cs="Garamond" w:ascii="Garamond" w:hAnsi="Garamond"/>
          <w:sz w:val="22"/>
          <w:szCs w:val="22"/>
        </w:rPr>
        <w:t>2013-08.</w:t>
      </w:r>
      <w:r>
        <w:rPr>
          <w:rFonts w:eastAsia="Yu Gothic Light" w:cs="Garamond" w:ascii="Garamond" w:hAnsi="Garamond"/>
          <w:sz w:val="22"/>
          <w:szCs w:val="22"/>
          <w:lang w:val="en-US"/>
        </w:rPr>
        <w:t>pdf</w:t>
      </w:r>
      <w:r>
        <w:rPr>
          <w:rFonts w:eastAsia="Yu Gothic Light" w:cs="Garamond" w:ascii="Garamond" w:hAnsi="Garamond"/>
          <w:sz w:val="22"/>
          <w:szCs w:val="22"/>
        </w:rPr>
        <w:t xml:space="preserve"> (</w:t>
      </w:r>
      <w:r>
        <w:rPr>
          <w:rStyle w:val="Style18"/>
          <w:rFonts w:eastAsia="MingLiU;細明體" w:cs="Garamond" w:ascii="Garamond" w:hAnsi="Garamond"/>
          <w:sz w:val="22"/>
          <w:szCs w:val="22"/>
        </w:rPr>
        <w:t>дата обращения 09.04.2020).</w:t>
      </w:r>
    </w:p>
    <w:p>
      <w:pPr>
        <w:pStyle w:val="Normal"/>
        <w:ind w:start="720" w:end="-31" w:hanging="720"/>
        <w:rPr>
          <w:rFonts w:ascii="Garamond" w:hAnsi="Garamond" w:eastAsia="MingLiU;細明體" w:cs="Garamond"/>
          <w:sz w:val="22"/>
          <w:szCs w:val="22"/>
        </w:rPr>
      </w:pPr>
      <w:r>
        <w:rPr>
          <w:rFonts w:eastAsia="MingLiU;細明體" w:cs="Garamond" w:ascii="Garamond" w:hAnsi="Garamond"/>
          <w:sz w:val="22"/>
          <w:szCs w:val="22"/>
        </w:rPr>
      </w:r>
    </w:p>
    <w:p>
      <w:pPr>
        <w:pStyle w:val="Normal"/>
        <w:ind w:start="720" w:end="-31" w:hanging="720"/>
        <w:jc w:val="center"/>
        <w:rPr>
          <w:rFonts w:ascii="Garamond" w:hAnsi="Garamond" w:eastAsia="MingLiU;細明體" w:cs="Garamond"/>
          <w:sz w:val="24"/>
          <w:szCs w:val="24"/>
        </w:rPr>
      </w:pPr>
      <w:r>
        <w:rPr>
          <w:rFonts w:cs="Garamond" w:ascii="Garamond" w:hAnsi="Garamond"/>
          <w:sz w:val="24"/>
          <w:szCs w:val="24"/>
        </w:rPr>
        <w:t xml:space="preserve">Архивные документы / </w:t>
      </w:r>
      <w:r>
        <w:rPr>
          <w:rFonts w:cs="Garamond" w:ascii="Garamond" w:hAnsi="Garamond"/>
          <w:sz w:val="24"/>
          <w:szCs w:val="24"/>
          <w:lang w:val="en-US"/>
        </w:rPr>
        <w:t>Archive</w:t>
      </w:r>
      <w:r>
        <w:rPr>
          <w:rFonts w:cs="Garamond" w:ascii="Garamond" w:hAnsi="Garamond"/>
          <w:sz w:val="24"/>
          <w:szCs w:val="24"/>
        </w:rPr>
        <w:t xml:space="preserve"> </w:t>
      </w:r>
      <w:r>
        <w:rPr>
          <w:rFonts w:cs="Garamond" w:ascii="Garamond" w:hAnsi="Garamond"/>
          <w:sz w:val="24"/>
          <w:szCs w:val="24"/>
          <w:lang w:val="en-US"/>
        </w:rPr>
        <w:t>documents</w:t>
      </w:r>
    </w:p>
    <w:p>
      <w:pPr>
        <w:pStyle w:val="Normal"/>
        <w:ind w:start="720" w:end="-31" w:hanging="720"/>
        <w:jc w:val="both"/>
        <w:rPr>
          <w:rFonts w:ascii="Garamond" w:hAnsi="Garamond" w:eastAsia="MingLiU;細明體" w:cs="Garamond"/>
          <w:sz w:val="8"/>
          <w:szCs w:val="8"/>
        </w:rPr>
      </w:pPr>
      <w:r>
        <w:rPr>
          <w:rFonts w:eastAsia="MingLiU;細明體" w:cs="Garamond" w:ascii="Garamond" w:hAnsi="Garamond"/>
          <w:sz w:val="8"/>
          <w:szCs w:val="8"/>
        </w:rPr>
      </w:r>
    </w:p>
    <w:p>
      <w:pPr>
        <w:pStyle w:val="Normal"/>
        <w:ind w:start="720" w:end="-31" w:hanging="720"/>
        <w:jc w:val="both"/>
        <w:rPr/>
      </w:pPr>
      <w:r>
        <w:rPr>
          <w:rFonts w:eastAsia="MingLiU;細明體" w:cs="Garamond" w:ascii="Garamond" w:hAnsi="Garamond"/>
          <w:sz w:val="22"/>
          <w:szCs w:val="22"/>
        </w:rPr>
        <w:t>Российский Государственный архив социально-политической истории, Москва (РГАСПИ) [</w:t>
      </w:r>
      <w:r>
        <w:rPr>
          <w:rFonts w:eastAsia="MingLiU;細明體" w:cs="Garamond" w:ascii="Garamond" w:hAnsi="Garamond"/>
          <w:sz w:val="22"/>
          <w:szCs w:val="22"/>
          <w:lang w:val="en-US"/>
        </w:rPr>
        <w:t>Russian</w:t>
      </w:r>
      <w:r>
        <w:rPr>
          <w:rFonts w:eastAsia="MingLiU;細明體" w:cs="Garamond" w:ascii="Garamond" w:hAnsi="Garamond"/>
          <w:sz w:val="22"/>
          <w:szCs w:val="22"/>
        </w:rPr>
        <w:t xml:space="preserve"> </w:t>
      </w:r>
      <w:r>
        <w:rPr>
          <w:rFonts w:eastAsia="MingLiU;細明體" w:cs="Garamond" w:ascii="Garamond" w:hAnsi="Garamond"/>
          <w:sz w:val="22"/>
          <w:szCs w:val="22"/>
          <w:lang w:val="en-US"/>
        </w:rPr>
        <w:t>State</w:t>
      </w:r>
      <w:r>
        <w:rPr>
          <w:rFonts w:eastAsia="MingLiU;細明體" w:cs="Garamond" w:ascii="Garamond" w:hAnsi="Garamond"/>
          <w:sz w:val="22"/>
          <w:szCs w:val="22"/>
        </w:rPr>
        <w:t xml:space="preserve"> </w:t>
      </w:r>
      <w:r>
        <w:rPr>
          <w:rFonts w:eastAsia="MingLiU;細明體" w:cs="Garamond" w:ascii="Garamond" w:hAnsi="Garamond"/>
          <w:sz w:val="22"/>
          <w:szCs w:val="22"/>
          <w:lang w:val="en-US"/>
        </w:rPr>
        <w:t>Archive</w:t>
      </w:r>
      <w:r>
        <w:rPr>
          <w:rFonts w:eastAsia="MingLiU;細明體" w:cs="Garamond" w:ascii="Garamond" w:hAnsi="Garamond"/>
          <w:sz w:val="22"/>
          <w:szCs w:val="22"/>
        </w:rPr>
        <w:t xml:space="preserve"> </w:t>
      </w:r>
      <w:r>
        <w:rPr>
          <w:rFonts w:eastAsia="MingLiU;細明體" w:cs="Garamond" w:ascii="Garamond" w:hAnsi="Garamond"/>
          <w:sz w:val="22"/>
          <w:szCs w:val="22"/>
          <w:lang w:val="en-US"/>
        </w:rPr>
        <w:t>of</w:t>
      </w:r>
      <w:r>
        <w:rPr>
          <w:rFonts w:eastAsia="MingLiU;細明體" w:cs="Garamond" w:ascii="Garamond" w:hAnsi="Garamond"/>
          <w:sz w:val="22"/>
          <w:szCs w:val="22"/>
        </w:rPr>
        <w:t xml:space="preserve"> </w:t>
      </w:r>
      <w:r>
        <w:rPr>
          <w:rFonts w:eastAsia="MingLiU;細明體" w:cs="Garamond" w:ascii="Garamond" w:hAnsi="Garamond"/>
          <w:sz w:val="22"/>
          <w:szCs w:val="22"/>
          <w:lang w:val="en-US"/>
        </w:rPr>
        <w:t>Socio</w:t>
      </w:r>
      <w:r>
        <w:rPr>
          <w:rFonts w:eastAsia="MingLiU;細明體" w:cs="Garamond" w:ascii="Garamond" w:hAnsi="Garamond"/>
          <w:sz w:val="22"/>
          <w:szCs w:val="22"/>
        </w:rPr>
        <w:t>-</w:t>
      </w:r>
      <w:r>
        <w:rPr>
          <w:rFonts w:eastAsia="MingLiU;細明體" w:cs="Garamond" w:ascii="Garamond" w:hAnsi="Garamond"/>
          <w:sz w:val="22"/>
          <w:szCs w:val="22"/>
          <w:lang w:val="en-US"/>
        </w:rPr>
        <w:t>Political</w:t>
      </w:r>
      <w:r>
        <w:rPr>
          <w:rFonts w:eastAsia="MingLiU;細明體" w:cs="Garamond" w:ascii="Garamond" w:hAnsi="Garamond"/>
          <w:sz w:val="22"/>
          <w:szCs w:val="22"/>
        </w:rPr>
        <w:t xml:space="preserve"> </w:t>
      </w:r>
      <w:r>
        <w:rPr>
          <w:rFonts w:eastAsia="MingLiU;細明體" w:cs="Garamond" w:ascii="Garamond" w:hAnsi="Garamond"/>
          <w:sz w:val="22"/>
          <w:szCs w:val="22"/>
          <w:lang w:val="en-US"/>
        </w:rPr>
        <w:t>History</w:t>
      </w:r>
      <w:r>
        <w:rPr>
          <w:rFonts w:eastAsia="MingLiU;細明體" w:cs="Garamond" w:ascii="Garamond" w:hAnsi="Garamond"/>
          <w:sz w:val="22"/>
          <w:szCs w:val="22"/>
        </w:rPr>
        <w:t xml:space="preserve">, </w:t>
      </w:r>
      <w:r>
        <w:rPr>
          <w:rFonts w:eastAsia="MingLiU;細明體" w:cs="Garamond" w:ascii="Garamond" w:hAnsi="Garamond"/>
          <w:sz w:val="22"/>
          <w:szCs w:val="22"/>
          <w:lang w:val="en-US"/>
        </w:rPr>
        <w:t>Moscow</w:t>
      </w:r>
      <w:r>
        <w:rPr>
          <w:rFonts w:eastAsia="MingLiU;細明體" w:cs="Garamond" w:ascii="Garamond" w:hAnsi="Garamond"/>
          <w:sz w:val="22"/>
          <w:szCs w:val="22"/>
        </w:rPr>
        <w:t>]. Фонд</w:t>
      </w:r>
      <w:r>
        <w:rPr>
          <w:rFonts w:eastAsia="MingLiU;細明體" w:cs="Garamond" w:ascii="Garamond" w:hAnsi="Garamond"/>
          <w:sz w:val="22"/>
          <w:szCs w:val="22"/>
          <w:lang w:val="en-US"/>
        </w:rPr>
        <w:t> </w:t>
      </w:r>
      <w:r>
        <w:rPr>
          <w:rFonts w:eastAsia="MingLiU;細明體" w:cs="Garamond" w:ascii="Garamond" w:hAnsi="Garamond"/>
          <w:sz w:val="22"/>
          <w:szCs w:val="22"/>
        </w:rPr>
        <w:t>495. Опись</w:t>
      </w:r>
      <w:r>
        <w:rPr>
          <w:rFonts w:eastAsia="MingLiU;細明體" w:cs="Garamond" w:ascii="Garamond" w:hAnsi="Garamond"/>
          <w:sz w:val="22"/>
          <w:szCs w:val="22"/>
          <w:lang w:val="en-US"/>
        </w:rPr>
        <w:t xml:space="preserve"> 127. </w:t>
      </w:r>
      <w:r>
        <w:rPr>
          <w:rFonts w:eastAsia="MingLiU;細明體" w:cs="Garamond" w:ascii="Garamond" w:hAnsi="Garamond"/>
          <w:sz w:val="22"/>
          <w:szCs w:val="22"/>
        </w:rPr>
        <w:t>Дело</w:t>
      </w:r>
      <w:r>
        <w:rPr>
          <w:rFonts w:eastAsia="MingLiU;細明體" w:cs="Garamond" w:ascii="Garamond" w:hAnsi="Garamond"/>
          <w:sz w:val="22"/>
          <w:szCs w:val="22"/>
          <w:lang w:val="en-US"/>
        </w:rPr>
        <w:t> 56.</w:t>
      </w:r>
    </w:p>
    <w:p>
      <w:pPr>
        <w:pStyle w:val="Normal"/>
        <w:ind w:start="720" w:end="-31" w:hanging="720"/>
        <w:jc w:val="both"/>
        <w:rPr/>
      </w:pPr>
      <w:r>
        <w:rPr>
          <w:rFonts w:eastAsia="MingLiU;細明體" w:cs="Garamond" w:ascii="Garamond" w:hAnsi="Garamond"/>
          <w:sz w:val="22"/>
          <w:szCs w:val="22"/>
        </w:rPr>
        <w:t>РГАСПИ</w:t>
      </w:r>
      <w:r>
        <w:rPr>
          <w:rFonts w:eastAsia="MingLiU;細明體" w:cs="Garamond" w:ascii="Garamond" w:hAnsi="Garamond"/>
          <w:sz w:val="22"/>
          <w:szCs w:val="22"/>
          <w:lang w:val="en-US"/>
        </w:rPr>
        <w:t xml:space="preserve">. </w:t>
      </w:r>
      <w:r>
        <w:rPr>
          <w:rFonts w:eastAsia="MingLiU;細明體" w:cs="Garamond" w:ascii="Garamond" w:hAnsi="Garamond"/>
          <w:sz w:val="22"/>
          <w:szCs w:val="22"/>
        </w:rPr>
        <w:t>Фонд</w:t>
      </w:r>
      <w:r>
        <w:rPr>
          <w:rFonts w:eastAsia="MingLiU;細明體" w:cs="Garamond" w:ascii="Garamond" w:hAnsi="Garamond"/>
          <w:sz w:val="22"/>
          <w:szCs w:val="22"/>
          <w:lang w:val="en-US"/>
        </w:rPr>
        <w:t xml:space="preserve"> 495. </w:t>
      </w:r>
      <w:r>
        <w:rPr>
          <w:rFonts w:eastAsia="MingLiU;細明體" w:cs="Garamond" w:ascii="Garamond" w:hAnsi="Garamond"/>
          <w:sz w:val="22"/>
          <w:szCs w:val="22"/>
        </w:rPr>
        <w:t>Опись</w:t>
      </w:r>
      <w:r>
        <w:rPr>
          <w:rFonts w:eastAsia="MingLiU;細明體" w:cs="Garamond" w:ascii="Garamond" w:hAnsi="Garamond"/>
          <w:sz w:val="22"/>
          <w:szCs w:val="22"/>
          <w:lang w:val="en-US"/>
        </w:rPr>
        <w:t xml:space="preserve"> 127. </w:t>
      </w:r>
      <w:r>
        <w:rPr>
          <w:rFonts w:eastAsia="MingLiU;細明體" w:cs="Garamond" w:ascii="Garamond" w:hAnsi="Garamond"/>
          <w:sz w:val="22"/>
          <w:szCs w:val="22"/>
        </w:rPr>
        <w:t>Дело</w:t>
      </w:r>
      <w:r>
        <w:rPr>
          <w:rFonts w:eastAsia="MingLiU;細明體" w:cs="Garamond" w:ascii="Garamond" w:hAnsi="Garamond"/>
          <w:sz w:val="22"/>
          <w:szCs w:val="22"/>
          <w:lang w:val="en-US"/>
        </w:rPr>
        <w:t> 183.</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Cambria">
    <w:charset w:val="cc" w:characterSet="windows-1251"/>
    <w:family w:val="roman"/>
    <w:pitch w:val="variable"/>
  </w:font>
  <w:font w:name="Calibri Light">
    <w:charset w:val="cc" w:characterSet="windows-1251"/>
    <w:family w:val="swiss"/>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Garamond">
    <w:charset w:val="cc" w:characterSet="windows-1251"/>
    <w:family w:val="roman"/>
    <w:pitch w:val="variable"/>
  </w:font>
  <w:font w:name="Liberation Sans">
    <w:altName w:val="Arial"/>
    <w:charset w:val="01" w:characterSet="utf-8"/>
    <w:family w:val="swiss"/>
    <w:pitch w:val="variable"/>
  </w:font>
  <w:font w:name="Calibri">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278</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rStyle w:val="Style16"/>
                        <w:rFonts w:ascii="Garamond" w:hAnsi="Garamond" w:cs="Garamond"/>
                        <w:sz w:val="22"/>
                        <w:szCs w:val="22"/>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278</w:t>
                    </w:r>
                    <w:r>
                      <w:rPr>
                        <w:rStyle w:val="Style16"/>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287</w:t>
                          </w:r>
                          <w:r>
                            <w:rPr>
                              <w:rStyle w:val="Style16"/>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6"/>
                        <w:rFonts w:cs="Garamond" w:ascii="Garamond" w:hAnsi="Garamond"/>
                        <w:sz w:val="22"/>
                        <w:szCs w:val="22"/>
                      </w:rPr>
                      <w:fldChar w:fldCharType="begin"/>
                    </w:r>
                    <w:r>
                      <w:rPr>
                        <w:rStyle w:val="Style16"/>
                        <w:sz w:val="22"/>
                        <w:szCs w:val="22"/>
                        <w:rFonts w:cs="Garamond" w:ascii="Garamond" w:hAnsi="Garamond"/>
                      </w:rPr>
                      <w:instrText> PAGE </w:instrText>
                    </w:r>
                    <w:r>
                      <w:rPr>
                        <w:rStyle w:val="Style16"/>
                        <w:sz w:val="22"/>
                        <w:szCs w:val="22"/>
                        <w:rFonts w:cs="Garamond" w:ascii="Garamond" w:hAnsi="Garamond"/>
                      </w:rPr>
                      <w:fldChar w:fldCharType="separate"/>
                    </w:r>
                    <w:r>
                      <w:rPr>
                        <w:rStyle w:val="Style16"/>
                        <w:sz w:val="22"/>
                        <w:szCs w:val="22"/>
                        <w:rFonts w:cs="Garamond" w:ascii="Garamond" w:hAnsi="Garamond"/>
                      </w:rPr>
                      <w:t>287</w:t>
                    </w:r>
                    <w:r>
                      <w:rPr>
                        <w:rStyle w:val="Style16"/>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eastAsia="MingLiU;細明體" w:cs="Garamond"/>
          <w:b/>
          <w:b/>
        </w:rPr>
      </w:pPr>
      <w:r>
        <w:rPr>
          <w:rStyle w:val="Style12"/>
        </w:rPr>
        <w:footnoteRef/>
      </w:r>
      <w:r>
        <w:rPr>
          <w:rFonts w:eastAsia="Garamond" w:cs="Garamond" w:ascii="Garamond" w:hAnsi="Garamond"/>
        </w:rPr>
        <w:tab/>
        <w:t xml:space="preserve"> </w:t>
      </w:r>
      <w:r>
        <w:rPr>
          <w:rFonts w:eastAsia="MingLiU;細明體" w:cs="Garamond" w:ascii="Garamond" w:hAnsi="Garamond"/>
        </w:rPr>
        <w:t xml:space="preserve">Вера Валерьевна ДОСОВИЦКАЯ, кандидат исторических наук, младший научный сотрудник Института востоковедения РАН, Москва; </w:t>
      </w:r>
      <w:r>
        <w:rPr>
          <w:rFonts w:eastAsia="MingLiU;細明體" w:cs="Garamond" w:ascii="Garamond" w:hAnsi="Garamond"/>
          <w:lang w:val="en-US"/>
        </w:rPr>
        <w:t>dosovitskaya</w:t>
      </w:r>
      <w:r>
        <w:rPr>
          <w:rFonts w:eastAsia="MingLiU;細明體" w:cs="Garamond" w:ascii="Garamond" w:hAnsi="Garamond"/>
        </w:rPr>
        <w:t>@</w:t>
      </w:r>
      <w:r>
        <w:rPr>
          <w:rFonts w:eastAsia="MingLiU;細明體" w:cs="Garamond" w:ascii="Garamond" w:hAnsi="Garamond"/>
          <w:lang w:val="en-US"/>
        </w:rPr>
        <w:t>ivran</w:t>
      </w:r>
      <w:r>
        <w:rPr>
          <w:rFonts w:eastAsia="MingLiU;細明體" w:cs="Garamond" w:ascii="Garamond" w:hAnsi="Garamond"/>
        </w:rPr>
        <w:t>.ru</w:t>
      </w:r>
    </w:p>
    <w:p>
      <w:pPr>
        <w:pStyle w:val="Normal"/>
        <w:ind w:end="-31" w:hanging="0"/>
        <w:jc w:val="both"/>
        <w:rPr/>
      </w:pPr>
      <w:r>
        <w:rPr>
          <w:rFonts w:eastAsia="Garamond" w:cs="Garamond" w:ascii="Garamond" w:hAnsi="Garamond"/>
        </w:rPr>
        <w:tab/>
        <w:t xml:space="preserve">   </w:t>
      </w:r>
      <w:r>
        <w:rPr>
          <w:rFonts w:eastAsia="MingLiU;細明體" w:cs="Garamond" w:ascii="Garamond" w:hAnsi="Garamond"/>
          <w:lang w:val="en-US"/>
        </w:rPr>
        <w:t>Vera V. DOSOVITSKAIA, PhD (History), Junior Research Fellow, Institute of Oriental Studies RAS, Moscow; dosovitskaya@ivran.ru</w:t>
      </w:r>
    </w:p>
    <w:p>
      <w:pPr>
        <w:pStyle w:val="Normal"/>
        <w:ind w:end="-31" w:hanging="0"/>
        <w:jc w:val="both"/>
        <w:rPr/>
      </w:pPr>
      <w:r>
        <w:rPr>
          <w:rFonts w:eastAsia="Garamond" w:cs="Garamond" w:ascii="Garamond" w:hAnsi="Garamond"/>
        </w:rPr>
        <w:tab/>
        <w:t xml:space="preserve">   </w:t>
      </w:r>
      <w:r>
        <w:rPr>
          <w:rFonts w:eastAsia="MingLiU;細明體" w:cs="Garamond" w:ascii="Garamond" w:hAnsi="Garamond"/>
          <w:bCs/>
          <w:lang w:val="en-US"/>
        </w:rPr>
        <w:t>ORCID</w:t>
      </w:r>
      <w:r>
        <w:rPr>
          <w:rFonts w:eastAsia="MingLiU;細明體" w:cs="Garamond" w:ascii="Garamond" w:hAnsi="Garamond"/>
          <w:bCs/>
        </w:rPr>
        <w:t xml:space="preserve"> </w:t>
      </w:r>
      <w:r>
        <w:rPr>
          <w:rFonts w:eastAsia="MingLiU;細明體" w:cs="Garamond" w:ascii="Garamond" w:hAnsi="Garamond"/>
          <w:bCs/>
          <w:lang w:val="en-US"/>
        </w:rPr>
        <w:t>ID</w:t>
      </w:r>
      <w:r>
        <w:rPr>
          <w:rFonts w:eastAsia="MingLiU;細明體" w:cs="Garamond" w:ascii="Garamond" w:hAnsi="Garamond"/>
          <w:bCs/>
        </w:rPr>
        <w:t>: 0000-0003-3444-0218</w:t>
      </w:r>
    </w:p>
  </w:footnote>
  <w:footnote w:id="3">
    <w:p>
      <w:pPr>
        <w:pStyle w:val="Normal"/>
        <w:ind w:end="-31" w:hanging="0"/>
        <w:jc w:val="both"/>
        <w:rPr/>
      </w:pPr>
      <w:r>
        <w:rPr>
          <w:rStyle w:val="Style12"/>
        </w:rPr>
        <w:footnoteRef/>
      </w:r>
      <w:r>
        <w:rPr>
          <w:rFonts w:eastAsia="Garamond" w:cs="Garamond" w:ascii="Garamond" w:hAnsi="Garamond"/>
        </w:rPr>
        <w:tab/>
        <w:t xml:space="preserve"> </w:t>
      </w:r>
      <w:r>
        <w:rPr>
          <w:rFonts w:eastAsia="MingLiU;細明體" w:cs="Garamond" w:ascii="Garamond" w:hAnsi="Garamond"/>
        </w:rPr>
        <w:t>Реставрация Мэйдзи (</w:t>
      </w:r>
      <w:r>
        <w:rPr>
          <w:rFonts w:ascii="Garamond" w:hAnsi="Garamond" w:cs="Garamond" w:eastAsia="MingLiU;細明體"/>
        </w:rPr>
        <w:t>明治維新</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 xml:space="preserve">— яп. </w:t>
      </w:r>
      <w:r>
        <w:rPr>
          <w:rFonts w:eastAsia="MingLiU;細明體" w:cs="Garamond" w:ascii="Garamond" w:hAnsi="Garamond"/>
          <w:i/>
        </w:rPr>
        <w:t>мэйдзи исин</w:t>
      </w:r>
      <w:r>
        <w:rPr>
          <w:rFonts w:eastAsia="MingLiU;細明體" w:cs="Garamond" w:ascii="Garamond" w:hAnsi="Garamond"/>
        </w:rPr>
        <w:t xml:space="preserve">, комплекс политических, военных и социально-экономических реформ в Японии 1868–1889 гг., превративший отсталую аграрную страну в одно из ведущих государств мира. </w:t>
      </w:r>
    </w:p>
  </w:footnote>
  <w:footnote w:id="4">
    <w:p>
      <w:pPr>
        <w:pStyle w:val="Normal"/>
        <w:ind w:end="-31" w:hanging="0"/>
        <w:jc w:val="both"/>
        <w:rPr>
          <w:rFonts w:ascii="Garamond" w:hAnsi="Garamond" w:eastAsia="MingLiU;細明體" w:cs="Garamond"/>
          <w:lang w:eastAsia="en-US"/>
        </w:rPr>
      </w:pPr>
      <w:r>
        <w:rPr>
          <w:rStyle w:val="Style12"/>
        </w:rPr>
        <w:footnoteRef/>
      </w:r>
      <w:r>
        <w:rPr>
          <w:rFonts w:eastAsia="Garamond" w:cs="Garamond" w:ascii="Garamond" w:hAnsi="Garamond"/>
        </w:rPr>
        <w:tab/>
        <w:t xml:space="preserve"> </w:t>
      </w:r>
      <w:r>
        <w:rPr>
          <w:rFonts w:eastAsia="MingLiU;細明體" w:cs="Garamond" w:ascii="Garamond" w:hAnsi="Garamond"/>
        </w:rPr>
        <w:t>Люйшунь (</w:t>
      </w:r>
      <w:r>
        <w:rPr>
          <w:rFonts w:ascii="Garamond" w:hAnsi="Garamond" w:cs="Garamond" w:eastAsia="MingLiU;細明體"/>
        </w:rPr>
        <w:t>旅順</w:t>
      </w:r>
      <w:r>
        <w:rPr>
          <w:rFonts w:eastAsia="MingLiU;細明體" w:cs="Garamond" w:ascii="Garamond" w:hAnsi="Garamond"/>
        </w:rPr>
        <w:t xml:space="preserve">) — рус. Порт-Артур, яп. Рёдзюн, бывший портовый город, незамерзающий порт и военно-морская база, расположенная на Квантунском полуострове. В настоящее время на месте бывшего города расположен район Люйшунькоу города Далянь КНР. </w:t>
      </w:r>
    </w:p>
  </w:footnote>
  <w:footnote w:id="5">
    <w:p>
      <w:pPr>
        <w:pStyle w:val="Normal"/>
        <w:ind w:end="-31" w:hanging="0"/>
        <w:jc w:val="both"/>
        <w:rPr/>
      </w:pPr>
      <w:r>
        <w:rPr>
          <w:rStyle w:val="Style12"/>
        </w:rPr>
        <w:footnoteRef/>
      </w:r>
      <w:r>
        <w:rPr>
          <w:rFonts w:eastAsia="Garamond" w:cs="Garamond" w:ascii="Garamond" w:hAnsi="Garamond"/>
        </w:rPr>
        <w:tab/>
        <w:t xml:space="preserve"> </w:t>
      </w:r>
      <w:r>
        <w:rPr>
          <w:rFonts w:eastAsia="MingLiU;細明體" w:cs="Garamond" w:ascii="Garamond" w:hAnsi="Garamond"/>
        </w:rPr>
        <w:t>Далянь (</w:t>
      </w:r>
      <w:r>
        <w:rPr>
          <w:rFonts w:ascii="Garamond" w:hAnsi="Garamond" w:cs="Garamond" w:eastAsia="MingLiU;細明體"/>
        </w:rPr>
        <w:t>大連</w:t>
      </w:r>
      <w:r>
        <w:rPr>
          <w:rFonts w:eastAsia="MingLiU;細明體" w:cs="Garamond" w:ascii="Garamond" w:hAnsi="Garamond"/>
        </w:rPr>
        <w:t xml:space="preserve">) — яп. Дайрен, рус. Дальний, город в провинции Ляонин, порт в заливе Желтого моря на Квантунском полуострове. </w:t>
      </w:r>
    </w:p>
  </w:footnote>
  <w:footnote w:id="6">
    <w:p>
      <w:pPr>
        <w:pStyle w:val="Style29"/>
        <w:ind w:end="-31" w:hanging="0"/>
        <w:jc w:val="both"/>
        <w:rPr/>
      </w:pPr>
      <w:r>
        <w:rPr>
          <w:rStyle w:val="Style12"/>
        </w:rPr>
        <w:footnoteRef/>
      </w:r>
      <w:r>
        <w:rPr>
          <w:rFonts w:eastAsia="Garamond" w:cs="Garamond" w:ascii="Garamond" w:hAnsi="Garamond"/>
          <w:sz w:val="20"/>
          <w:szCs w:val="20"/>
        </w:rPr>
        <w:tab/>
        <w:t xml:space="preserve"> </w:t>
      </w:r>
      <w:r>
        <w:rPr>
          <w:rFonts w:eastAsia="MingLiU;細明體" w:cs="Garamond" w:ascii="Garamond" w:hAnsi="Garamond"/>
          <w:sz w:val="20"/>
          <w:szCs w:val="20"/>
        </w:rPr>
        <w:t>КВЖД была построена в 1897–1903 гг.; общая протяженность 2450 км.</w:t>
      </w:r>
    </w:p>
  </w:footnote>
  <w:footnote w:id="7">
    <w:p>
      <w:pPr>
        <w:pStyle w:val="Style29"/>
        <w:ind w:end="-31" w:hanging="0"/>
        <w:jc w:val="both"/>
        <w:rPr/>
      </w:pPr>
      <w:r>
        <w:rPr>
          <w:rStyle w:val="Style12"/>
        </w:rPr>
        <w:footnoteRef/>
      </w:r>
      <w:r>
        <w:rPr>
          <w:rFonts w:eastAsia="Garamond" w:cs="Garamond" w:ascii="Garamond" w:hAnsi="Garamond"/>
          <w:sz w:val="20"/>
          <w:szCs w:val="20"/>
        </w:rPr>
        <w:tab/>
        <w:t xml:space="preserve"> </w:t>
      </w:r>
      <w:r>
        <w:rPr>
          <w:rFonts w:eastAsia="MingLiU;細明體" w:cs="Garamond" w:ascii="Garamond" w:hAnsi="Garamond"/>
          <w:sz w:val="20"/>
          <w:szCs w:val="20"/>
        </w:rPr>
        <w:t>Так называемая «Внешняя Монголия» — территория современной Республики Монголия. До 1911 г. входила в состав Цинской империи. 1924–1992 гг. — Монгольская Народная Республика (МНР).</w:t>
      </w:r>
    </w:p>
  </w:footnote>
  <w:footnote w:id="8">
    <w:p>
      <w:pPr>
        <w:pStyle w:val="Style29"/>
        <w:ind w:end="-31" w:hanging="0"/>
        <w:jc w:val="both"/>
        <w:rPr/>
      </w:pPr>
      <w:r>
        <w:rPr>
          <w:rStyle w:val="Style12"/>
        </w:rPr>
        <w:footnoteRef/>
      </w:r>
      <w:r>
        <w:rPr>
          <w:rFonts w:eastAsia="Garamond" w:cs="Garamond" w:ascii="Garamond" w:hAnsi="Garamond"/>
          <w:sz w:val="20"/>
          <w:szCs w:val="20"/>
        </w:rPr>
        <w:tab/>
        <w:t xml:space="preserve"> </w:t>
      </w:r>
      <w:r>
        <w:rPr>
          <w:rFonts w:eastAsia="MingLiU;細明體" w:cs="Garamond" w:ascii="Garamond" w:hAnsi="Garamond"/>
          <w:sz w:val="20"/>
          <w:szCs w:val="20"/>
        </w:rPr>
        <w:t>Так называемая «Внутренняя Монголия» — современный автономный район на севере КНР. Входил в состав Цинской империи. Восточная часть Внутренней Монголии вошла в состав Маньчжоу-го.</w:t>
      </w:r>
    </w:p>
  </w:footnote>
  <w:footnote w:id="9">
    <w:p>
      <w:pPr>
        <w:pStyle w:val="Style32"/>
        <w:ind w:end="-31" w:hanging="0"/>
        <w:jc w:val="both"/>
        <w:rPr/>
      </w:pPr>
      <w:r>
        <w:rPr>
          <w:rStyle w:val="Style12"/>
        </w:rPr>
        <w:footnoteRef/>
      </w:r>
      <w:r>
        <w:rPr>
          <w:rFonts w:eastAsia="Garamond" w:cs="Garamond" w:ascii="Garamond" w:hAnsi="Garamond"/>
        </w:rPr>
        <w:tab/>
        <w:t xml:space="preserve"> </w:t>
      </w:r>
      <w:r>
        <w:rPr>
          <w:rFonts w:eastAsia="MingLiU;細明體" w:cs="Garamond" w:ascii="Garamond" w:hAnsi="Garamond"/>
        </w:rPr>
        <w:t xml:space="preserve">Гото Симпэй (1857–1929) — японский политический деятель, губернатор Тайваня, первый президент </w:t>
      </w:r>
      <w:r>
        <w:rPr>
          <w:rFonts w:eastAsia="MingLiU;細明體" w:cs="Garamond" w:ascii="Garamond" w:hAnsi="Garamond"/>
          <w:i/>
        </w:rPr>
        <w:t>мантэцу</w:t>
      </w:r>
      <w:r>
        <w:rPr>
          <w:rFonts w:eastAsia="MingLiU;細明體" w:cs="Garamond" w:ascii="Garamond" w:hAnsi="Garamond"/>
        </w:rPr>
        <w:t xml:space="preserve">, мэр Токио. </w:t>
      </w:r>
    </w:p>
  </w:footnote>
  <w:footnote w:id="10">
    <w:p>
      <w:pPr>
        <w:pStyle w:val="Style29"/>
        <w:ind w:end="-31" w:hanging="0"/>
        <w:jc w:val="both"/>
        <w:rPr/>
      </w:pPr>
      <w:r>
        <w:rPr>
          <w:rStyle w:val="Style12"/>
        </w:rPr>
        <w:footnoteRef/>
      </w:r>
      <w:r>
        <w:rPr>
          <w:rFonts w:eastAsia="Garamond" w:cs="Garamond" w:ascii="Garamond" w:hAnsi="Garamond"/>
          <w:sz w:val="20"/>
          <w:szCs w:val="20"/>
        </w:rPr>
        <w:tab/>
        <w:t xml:space="preserve"> </w:t>
      </w:r>
      <w:r>
        <w:rPr>
          <w:rFonts w:eastAsia="MingLiU;細明體" w:cs="Garamond" w:ascii="Garamond" w:hAnsi="Garamond"/>
          <w:sz w:val="20"/>
          <w:szCs w:val="20"/>
        </w:rPr>
        <w:t>Подробнее о проблеме японских переселенцев см.: [Досовицкая, 2016, с. 144–160].</w:t>
      </w:r>
    </w:p>
  </w:footnote>
  <w:footnote w:id="11">
    <w:p>
      <w:pPr>
        <w:pStyle w:val="Normal"/>
        <w:ind w:end="-31" w:hanging="0"/>
        <w:jc w:val="both"/>
        <w:rPr/>
      </w:pPr>
      <w:r>
        <w:rPr>
          <w:rStyle w:val="Style12"/>
        </w:rPr>
        <w:footnoteRef/>
      </w:r>
      <w:r>
        <w:rPr>
          <w:rFonts w:eastAsia="Garamond" w:cs="Garamond" w:ascii="Garamond" w:hAnsi="Garamond"/>
        </w:rPr>
        <w:tab/>
        <w:t xml:space="preserve"> </w:t>
      </w:r>
      <w:r>
        <w:rPr>
          <w:rFonts w:eastAsia="MingLiU;細明體" w:cs="Garamond" w:ascii="Garamond" w:hAnsi="Garamond"/>
        </w:rPr>
        <w:t>Маньчжурский инцидент — подрыв железной дороги около Мукдена 18 сентября 1931 г. и последовавшее за этим наступление Квантунской армии Японии, послужившее началом захвата Маньчжурии.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eastAsia="MingLiU;細明體" w:cs="Garamond" w:ascii="Garamond" w:hAnsi="Garamond"/>
            </w:rPr>
            <w:t xml:space="preserve">Досовицкая В. В. </w:t>
          </w:r>
          <w:r>
            <w:rPr>
              <w:rFonts w:eastAsia="MingLiU;細明體" w:cs="Garamond" w:ascii="Garamond" w:hAnsi="Garamond"/>
              <w:bCs/>
            </w:rPr>
            <w:t>Южно-Маньчжурская железнодорожная компания в первой половине ХХ</w:t>
          </w:r>
          <w:r>
            <w:rPr>
              <w:rFonts w:eastAsia="MingLiU;細明體" w:cs="Garamond" w:ascii="Garamond" w:hAnsi="Garamond"/>
              <w:bCs/>
              <w:lang w:val="en-US"/>
            </w:rPr>
            <w:t> </w:t>
          </w:r>
          <w:r>
            <w:rPr>
              <w:rFonts w:eastAsia="MingLiU;細明體" w:cs="Garamond" w:ascii="Garamond" w:hAnsi="Garamond"/>
              <w:bCs/>
            </w:rPr>
            <w:t>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ind w:start="0" w:hanging="0"/>
      </w:pPr>
    </w:lvl>
    <w:lvl w:ilvl="1">
      <w:start w:val="1"/>
      <w:pStyle w:val="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keepLines/>
      <w:numPr>
        <w:ilvl w:val="0"/>
        <w:numId w:val="1"/>
      </w:numPr>
      <w:spacing w:before="240" w:after="0"/>
      <w:outlineLvl w:val="0"/>
    </w:pPr>
    <w:rPr>
      <w:rFonts w:ascii="Cambria" w:hAnsi="Cambria" w:eastAsia="Yu Gothic Light" w:cs="Cambria"/>
      <w:b/>
      <w:sz w:val="32"/>
      <w:szCs w:val="32"/>
      <w:lang w:eastAsia="ja-JP"/>
    </w:rPr>
  </w:style>
  <w:style w:type="paragraph" w:styleId="2">
    <w:name w:val="Heading 2"/>
    <w:basedOn w:val="Normal"/>
    <w:next w:val="Normal"/>
    <w:qFormat/>
    <w:pPr>
      <w:keepNext w:val="true"/>
      <w:keepLines/>
      <w:numPr>
        <w:ilvl w:val="1"/>
        <w:numId w:val="1"/>
      </w:numPr>
      <w:spacing w:before="40" w:after="0"/>
      <w:outlineLvl w:val="1"/>
    </w:pPr>
    <w:rPr>
      <w:rFonts w:ascii="Calibri Light" w:hAnsi="Calibri Light" w:eastAsia="Yu Gothic Light" w:cs="Calibri Light"/>
      <w:color w:val="2F5496"/>
      <w:sz w:val="26"/>
      <w:szCs w:val="26"/>
      <w:lang w:eastAsia="ja-JP"/>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mbria" w:hAnsi="Cambria" w:eastAsia="Yu Mincho;游明朝"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z w:val="28"/>
      <w:szCs w:val="2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1">
    <w:name w:val="Основной шрифт абзаца"/>
    <w:qFormat/>
    <w:rPr/>
  </w:style>
  <w:style w:type="character" w:styleId="4">
    <w:name w:val=" Знак Знак4"/>
    <w:qFormat/>
    <w:rPr>
      <w:rFonts w:ascii="Cambria" w:hAnsi="Cambria" w:eastAsia="Yu Gothic Light" w:cs="Cambria"/>
      <w:b/>
      <w:sz w:val="32"/>
      <w:szCs w:val="32"/>
      <w:lang w:val="ru-RU" w:eastAsia="ja-JP" w:bidi="ar-SA"/>
    </w:rPr>
  </w:style>
  <w:style w:type="character" w:styleId="3">
    <w:name w:val=" Знак Знак3"/>
    <w:qFormat/>
    <w:rPr>
      <w:rFonts w:ascii="Calibri Light" w:hAnsi="Calibri Light" w:eastAsia="Yu Gothic Light" w:cs="Calibri Light"/>
      <w:color w:val="2F5496"/>
      <w:sz w:val="26"/>
      <w:szCs w:val="26"/>
      <w:lang w:val="ru-RU" w:eastAsia="ja-JP" w:bidi="ar-SA"/>
    </w:rPr>
  </w:style>
  <w:style w:type="character" w:styleId="21">
    <w:name w:val=" Знак Знак2"/>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11">
    <w:name w:val=" Знак Знак1"/>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2">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1"/>
    <w:qFormat/>
    <w:rPr/>
  </w:style>
  <w:style w:type="character" w:styleId="Heading5Char">
    <w:name w:val="Heading 5 Char"/>
    <w:qFormat/>
    <w:rPr>
      <w:rFonts w:ascii="Times" w:hAnsi="Times" w:cs="Times"/>
      <w:b/>
      <w:bCs/>
      <w:sz w:val="20"/>
      <w:szCs w:val="20"/>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Style15">
    <w:name w:val=" Знак Знак"/>
    <w:qFormat/>
    <w:rPr>
      <w:lang w:val="ru-RU" w:bidi="ar-SA"/>
    </w:rPr>
  </w:style>
  <w:style w:type="character" w:styleId="Style16">
    <w:name w:val="Номер страницы"/>
    <w:basedOn w:val="Style11"/>
    <w:rPr/>
  </w:style>
  <w:style w:type="character" w:styleId="Style17">
    <w:name w:val="Выделение"/>
    <w:qFormat/>
    <w:rPr>
      <w:i/>
      <w:iCs/>
    </w:rPr>
  </w:style>
  <w:style w:type="character" w:styleId="Style18">
    <w:name w:val="сноска автореферат Знак"/>
    <w:qFormat/>
    <w:rPr>
      <w:lang w:val="ru-RU" w:eastAsia="ja-JP" w:bidi="ar-SA"/>
    </w:rPr>
  </w:style>
  <w:style w:type="character" w:styleId="Style19">
    <w:name w:val="Выделение жирным"/>
    <w:qFormat/>
    <w:rPr>
      <w:b/>
      <w:bCs/>
    </w:rPr>
  </w:style>
  <w:style w:type="character" w:styleId="Citation">
    <w:name w:val="citation"/>
    <w:basedOn w:val="Style11"/>
    <w:qFormat/>
    <w:rPr/>
  </w:style>
  <w:style w:type="character" w:styleId="Asizelarge">
    <w:name w:val="a-size-large"/>
    <w:basedOn w:val="Style11"/>
    <w:qFormat/>
    <w:rPr/>
  </w:style>
  <w:style w:type="character" w:styleId="UnresolvedMention">
    <w:name w:val="Unresolved Mention"/>
    <w:qFormat/>
    <w:rPr>
      <w:color w:val="605E5C"/>
      <w:shd w:fill="E1DFDD" w:val="clear"/>
    </w:rPr>
  </w:style>
  <w:style w:type="character" w:styleId="WW8Dropcap0">
    <w:name w:val="WW8Dropcap0"/>
    <w:qFormat/>
    <w:rPr>
      <w:rFonts w:ascii="Garamond" w:hAnsi="Garamond" w:eastAsia="MingLiU;細明體" w:cs="Garamond"/>
      <w:sz w:val="112"/>
      <w:szCs w:val="112"/>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носка автореферат"/>
    <w:basedOn w:val="Style29"/>
    <w:qFormat/>
    <w:pPr/>
    <w:rPr>
      <w:sz w:val="20"/>
      <w:szCs w:val="20"/>
      <w:lang w:eastAsia="ja-JP"/>
    </w:rPr>
  </w:style>
  <w:style w:type="paragraph" w:styleId="NoSpacing">
    <w:name w:val="No Spacing"/>
    <w:qFormat/>
    <w:pPr>
      <w:widowControl/>
    </w:pPr>
    <w:rPr>
      <w:rFonts w:ascii="Calibri" w:hAnsi="Calibri" w:eastAsia="MS Mincho;MS Gothic" w:cs="Calibri"/>
      <w:color w:val="auto"/>
      <w:sz w:val="24"/>
      <w:szCs w:val="24"/>
      <w:lang w:val="ru-RU" w:bidi="ar-SA" w:eastAsia="zh-CN"/>
    </w:rPr>
  </w:style>
  <w:style w:type="paragraph" w:styleId="12">
    <w:name w:val="Без интервала1"/>
    <w:basedOn w:val="Normal"/>
    <w:qFormat/>
    <w:pPr>
      <w:ind w:firstLine="709"/>
    </w:pPr>
    <w:rPr>
      <w:sz w:val="24"/>
      <w:szCs w:val="24"/>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2020-04-30T19:53:00Z</dcterms:created>
  <dc:creator>Vestnik IOS RAS</dc:creator>
  <dc:description/>
  <cp:keywords/>
  <dc:language>ru-RU</dc:language>
  <cp:lastModifiedBy>Malykh</cp:lastModifiedBy>
  <dcterms:modified xsi:type="dcterms:W3CDTF">2020-05-30T20:27:00Z</dcterms:modified>
  <cp:revision>39</cp:revision>
  <dc:subject/>
  <dc:title>РУБРИКА: РЕЦЕНЗИИ; к юбилею ИВ РАН (</dc:title>
</cp:coreProperties>
</file>