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footnotes.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10.jpeg" ContentType="image/jpeg"/>
  <Override PartName="/word/media/image6.jpeg" ContentType="image/jpeg"/>
  <Override PartName="/word/media/image11.jpeg" ContentType="image/jpeg"/>
  <Override PartName="/word/media/image7.jpeg" ContentType="image/jpeg"/>
  <Override PartName="/word/media/image12.jpeg" ContentType="image/jpeg"/>
  <Override PartName="/word/media/image8.jpeg" ContentType="image/jpeg"/>
  <Override PartName="/word/media/image9.jpeg" ContentType="image/jpeg"/>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ind w:end="-31" w:hanging="0"/>
        <w:jc w:val="center"/>
        <w:rPr>
          <w:rFonts w:ascii="Garamond" w:hAnsi="Garamond" w:cs="Garamond"/>
          <w:b/>
          <w:b/>
          <w:caps/>
          <w:sz w:val="24"/>
          <w:szCs w:val="24"/>
        </w:rPr>
      </w:pPr>
      <w:r>
        <w:rPr>
          <w:rFonts w:cs="Garamond" w:ascii="Garamond" w:hAnsi="Garamond"/>
          <w:b/>
          <w:caps/>
          <w:sz w:val="24"/>
          <w:szCs w:val="24"/>
        </w:rPr>
        <w:t>Древний Египет</w:t>
      </w:r>
    </w:p>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thickThinMediumGap" w:sz="24" w:space="0" w:color="000000"/>
            </w:tcBorders>
          </w:tcPr>
          <w:p>
            <w:pPr>
              <w:pStyle w:val="Normal"/>
              <w:snapToGrid w:val="false"/>
              <w:ind w:end="-31" w:hanging="0"/>
              <w:jc w:val="center"/>
              <w:rPr>
                <w:rFonts w:ascii="Garamond" w:hAnsi="Garamond" w:cs="Garamond"/>
                <w:b/>
                <w:b/>
                <w:caps/>
                <w:sz w:val="12"/>
                <w:szCs w:val="12"/>
              </w:rPr>
            </w:pPr>
            <w:r>
              <w:rPr>
                <w:rFonts w:cs="Garamond" w:ascii="Garamond" w:hAnsi="Garamond"/>
                <w:b/>
                <w:caps/>
                <w:sz w:val="12"/>
                <w:szCs w:val="12"/>
              </w:rPr>
            </w:r>
          </w:p>
        </w:tc>
      </w:tr>
    </w:tbl>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rPr>
          <w:rFonts w:ascii="Garamond" w:hAnsi="Garamond" w:cs="Garamond"/>
          <w:sz w:val="24"/>
          <w:szCs w:val="24"/>
        </w:rPr>
      </w:pPr>
      <w:r>
        <w:rPr>
          <w:rFonts w:cs="Garamond" w:ascii="Garamond" w:hAnsi="Garamond"/>
          <w:sz w:val="24"/>
          <w:szCs w:val="24"/>
          <w:lang w:val="en-US"/>
        </w:rPr>
        <w:t>DOI</w:t>
      </w:r>
      <w:r>
        <w:rPr>
          <w:rFonts w:cs="Garamond" w:ascii="Garamond" w:hAnsi="Garamond"/>
          <w:sz w:val="24"/>
          <w:szCs w:val="24"/>
        </w:rPr>
        <w:t>: 10.31696/2618-7302-2020-4-</w:t>
      </w:r>
      <w:r>
        <w:rPr>
          <w:rFonts w:cs="Garamond" w:ascii="Garamond" w:hAnsi="Garamond"/>
          <w:sz w:val="24"/>
          <w:szCs w:val="24"/>
          <w:lang w:val="en-US"/>
        </w:rPr>
        <w:t>20</w:t>
      </w:r>
      <w:r>
        <w:rPr>
          <w:rFonts w:cs="Garamond" w:ascii="Garamond" w:hAnsi="Garamond"/>
          <w:sz w:val="24"/>
          <w:szCs w:val="24"/>
        </w:rPr>
        <w:t>-42</w:t>
      </w:r>
    </w:p>
    <w:p>
      <w:pPr>
        <w:pStyle w:val="Normal"/>
        <w:ind w:end="-31" w:hanging="0"/>
        <w:rPr>
          <w:rFonts w:ascii="Garamond" w:hAnsi="Garamond" w:cs="Garamond"/>
          <w:b/>
          <w:b/>
          <w:bCs/>
          <w:sz w:val="24"/>
          <w:szCs w:val="24"/>
        </w:rPr>
      </w:pPr>
      <w:r>
        <w:rPr>
          <w:rFonts w:cs="Garamond" w:ascii="Garamond" w:hAnsi="Garamond"/>
          <w:b/>
          <w:bCs/>
          <w:sz w:val="24"/>
          <w:szCs w:val="24"/>
        </w:rPr>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rPr>
        <w:t>ЗАГАДКИ ДОДИНАСТИЧЕСКОЙ ПЕТРОГЛИФИКИ</w:t>
      </w:r>
    </w:p>
    <w:p>
      <w:pPr>
        <w:pStyle w:val="Normal"/>
        <w:spacing w:lineRule="auto" w:line="360"/>
        <w:ind w:end="-31" w:hanging="0"/>
        <w:jc w:val="center"/>
        <w:rPr/>
      </w:pPr>
      <w:r>
        <w:rPr>
          <w:rFonts w:cs="Garamond" w:ascii="Garamond" w:hAnsi="Garamond"/>
          <w:b/>
          <w:sz w:val="26"/>
          <w:szCs w:val="26"/>
        </w:rPr>
        <w:t>С ПОПРАВКОЙ НА КЛИМАТ И ГИДРОЛОГИЮ:</w:t>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rPr>
        <w:t>ЛОДКИ (И РЕКИ?) В ВЕРХНЕЕГИПЕТСКИХ ВОСТОЧНЫХ ВАДИ</w:t>
      </w:r>
    </w:p>
    <w:p>
      <w:pPr>
        <w:pStyle w:val="Normal"/>
        <w:spacing w:lineRule="auto" w:line="360"/>
        <w:ind w:end="-31" w:hanging="0"/>
        <w:jc w:val="both"/>
        <w:rPr>
          <w:rFonts w:ascii="Garamond" w:hAnsi="Garamond" w:cs="Garamond"/>
          <w:sz w:val="24"/>
          <w:szCs w:val="24"/>
        </w:rPr>
      </w:pPr>
      <w:r>
        <w:rPr>
          <w:rFonts w:cs="Garamond" w:ascii="Garamond" w:hAnsi="Garamond"/>
          <w:sz w:val="24"/>
          <w:szCs w:val="24"/>
        </w:rPr>
        <w:t>© 2020</w:t>
        <w:tab/>
        <w:tab/>
        <w:tab/>
        <w:tab/>
      </w:r>
      <w:r>
        <w:rPr>
          <w:rFonts w:cs="Garamond" w:ascii="Garamond" w:hAnsi="Garamond"/>
          <w:sz w:val="24"/>
          <w:szCs w:val="24"/>
          <w:lang w:val="en-US"/>
        </w:rPr>
        <w:t xml:space="preserve">         </w:t>
      </w:r>
      <w:r>
        <w:rPr>
          <w:rFonts w:cs="Garamond" w:ascii="Garamond" w:hAnsi="Garamond"/>
          <w:b/>
          <w:sz w:val="26"/>
          <w:szCs w:val="26"/>
        </w:rPr>
        <w:t>Д. Б. Прусаков</w:t>
      </w:r>
      <w:r>
        <w:rPr>
          <w:rStyle w:val="Style10"/>
          <w:rStyle w:val="Style17"/>
          <w:rFonts w:cs="Garamond" w:ascii="Garamond" w:hAnsi="Garamond"/>
          <w:sz w:val="26"/>
          <w:szCs w:val="26"/>
        </w:rPr>
        <w:footnoteReference w:id="2"/>
      </w:r>
    </w:p>
    <w:p>
      <w:pPr>
        <w:pStyle w:val="Normal"/>
        <w:ind w:end="-31" w:firstLine="720"/>
        <w:jc w:val="both"/>
        <w:rPr/>
      </w:pPr>
      <w:r>
        <w:rPr>
          <w:rFonts w:cs="Garamond" w:ascii="Garamond" w:hAnsi="Garamond"/>
          <w:sz w:val="22"/>
          <w:szCs w:val="22"/>
        </w:rPr>
        <w:t>Доисторические наскальные рисунки больших лодок в вади центральной части Восточной пустыни Египта разделили исследователей на две группы с принципиально разными взглядами на их происхождение и культурную принадлежность. Одна (П. Червичек и др.) настаивала на «религиозном» (культовом, магическом и т. п.) характере этих изображений, относя их к местным традициям, но фактически отрывая от реальной действительности, прежде всего на том основании, что лодки якобы никак не могли очутиться в пустыне на расстоянии во много десятков километров как от Нила, так и от Красного моря. Другая, придерживавшаяся идей У. М. Флиндерса Питри, видела в этих петроглифах суда некоей заморской «династической расы» завоевателей Египта, объединившей страну под своей властью. Данная гипотеза, когда-то отвергнутая большинством археологов и египтологов, в последнее время приобретает все новых сторонников; она предполагает, наряду с прочим, что в ныне сухих руслах верхнеегипетских Вади Хаммамат и Вади Баррамийа, по которым пролегают одни из кратчайших путей от красноморского побережья к Нилу, в период древнейших «лодочных» петроглифов (</w:t>
      </w:r>
      <w:r>
        <w:rPr>
          <w:rFonts w:cs="Garamond" w:ascii="Garamond" w:hAnsi="Garamond"/>
          <w:sz w:val="22"/>
          <w:szCs w:val="22"/>
          <w:lang w:val="en-US"/>
        </w:rPr>
        <w:t>V</w:t>
      </w:r>
      <w:r>
        <w:rPr>
          <w:rFonts w:cs="Garamond" w:ascii="Garamond" w:hAnsi="Garamond"/>
          <w:sz w:val="22"/>
          <w:szCs w:val="22"/>
        </w:rPr>
        <w:t>–</w:t>
      </w:r>
      <w:r>
        <w:rPr>
          <w:rFonts w:cs="Garamond" w:ascii="Garamond" w:hAnsi="Garamond"/>
          <w:sz w:val="22"/>
          <w:szCs w:val="22"/>
          <w:lang w:val="en-US"/>
        </w:rPr>
        <w:t>IV</w:t>
      </w:r>
      <w:r>
        <w:rPr>
          <w:rFonts w:cs="Garamond" w:ascii="Garamond" w:hAnsi="Garamond"/>
          <w:sz w:val="22"/>
          <w:szCs w:val="22"/>
        </w:rPr>
        <w:t> тыс. до н. э.) текли самые настоящие реки. Даже в целом не соглашаясь с «диффузионистской» версией Флиндерса Питри, нельзя игнорировать тот палеогеографический факт, что климат додинастического Египта был очень влажным, отличался регулярными муссонными ливнями, которые в сочетании с геоморфологией (спускающимися с гор разветвленными, огромной суммарной протяженности вади) Восточной пустыни могли только способствовать образованию здесь в указанный период постоянных притоков Нила.</w:t>
      </w:r>
    </w:p>
    <w:p>
      <w:pPr>
        <w:pStyle w:val="Normal"/>
        <w:ind w:end="-31" w:firstLine="720"/>
        <w:jc w:val="both"/>
        <w:rPr>
          <w:rFonts w:ascii="Garamond" w:hAnsi="Garamond" w:cs="Garamond"/>
          <w:sz w:val="22"/>
          <w:szCs w:val="22"/>
        </w:rPr>
      </w:pPr>
      <w:r>
        <w:rPr>
          <w:rFonts w:cs="Garamond" w:ascii="Garamond" w:hAnsi="Garamond"/>
          <w:i/>
          <w:sz w:val="22"/>
          <w:szCs w:val="22"/>
        </w:rPr>
        <w:t>Ключевые слова:</w:t>
      </w:r>
      <w:r>
        <w:rPr>
          <w:rFonts w:cs="Garamond" w:ascii="Garamond" w:hAnsi="Garamond"/>
          <w:sz w:val="22"/>
          <w:szCs w:val="22"/>
        </w:rPr>
        <w:t xml:space="preserve"> голоцен, климат, гидрология, Нил, Восточная пустыня, Вади Хаммамат, Вади Баррамийа, петроглифы, лодки, додинастический период.</w:t>
      </w:r>
    </w:p>
    <w:p>
      <w:pPr>
        <w:sectPr>
          <w:footerReference w:type="default" r:id="rId2"/>
          <w:footnotePr>
            <w:numFmt w:val="chicago"/>
            <w:numRestart w:val="eachSect"/>
          </w:footnotePr>
          <w:type w:val="nextPage"/>
          <w:pgSz w:w="11055" w:h="14740"/>
          <w:pgMar w:left="1134" w:right="1134" w:header="0" w:top="1134" w:footer="709" w:bottom="1134" w:gutter="0"/>
          <w:pgNumType w:start="20" w:fmt="decimal"/>
          <w:formProt w:val="false"/>
          <w:textDirection w:val="lrTb"/>
          <w:docGrid w:type="default" w:linePitch="360" w:charSpace="0"/>
        </w:sectPr>
        <w:pStyle w:val="Normal"/>
        <w:ind w:end="-31" w:firstLine="720"/>
        <w:jc w:val="both"/>
        <w:rPr>
          <w:rFonts w:ascii="Garamond" w:hAnsi="Garamond" w:cs="Garamond"/>
          <w:sz w:val="22"/>
          <w:szCs w:val="22"/>
        </w:rPr>
      </w:pPr>
      <w:r>
        <w:rPr>
          <w:rFonts w:cs="Garamond" w:ascii="Garamond" w:hAnsi="Garamond"/>
          <w:i/>
          <w:iCs/>
          <w:sz w:val="22"/>
          <w:szCs w:val="22"/>
        </w:rPr>
        <w:t>Для цитирования:</w:t>
      </w:r>
      <w:r>
        <w:rPr>
          <w:rFonts w:cs="Garamond" w:ascii="Garamond" w:hAnsi="Garamond"/>
          <w:sz w:val="22"/>
          <w:szCs w:val="22"/>
        </w:rPr>
        <w:t xml:space="preserve"> Прусаков Д. Б. </w:t>
      </w:r>
      <w:r>
        <w:rPr>
          <w:rFonts w:cs="Garamond" w:ascii="Garamond" w:hAnsi="Garamond"/>
          <w:bCs/>
          <w:sz w:val="22"/>
          <w:szCs w:val="22"/>
        </w:rPr>
        <w:t>Загадки додинастической петроглифики с поправкой на климат и гидрологию: лодки (и реки?) в верхнеегипетских восточных вади.</w:t>
      </w:r>
      <w:r>
        <w:rPr>
          <w:rFonts w:cs="Garamond" w:ascii="Garamond" w:hAnsi="Garamond"/>
          <w:sz w:val="22"/>
          <w:szCs w:val="22"/>
        </w:rPr>
        <w:t xml:space="preserve"> </w:t>
      </w:r>
      <w:r>
        <w:rPr>
          <w:rFonts w:cs="Garamond" w:ascii="Garamond" w:hAnsi="Garamond"/>
          <w:i/>
          <w:iCs/>
          <w:sz w:val="22"/>
          <w:szCs w:val="22"/>
        </w:rPr>
        <w:t>Вестник Института востоковедения РАН.</w:t>
      </w:r>
      <w:r>
        <w:rPr>
          <w:rFonts w:cs="Garamond" w:ascii="Garamond" w:hAnsi="Garamond"/>
          <w:sz w:val="22"/>
          <w:szCs w:val="22"/>
        </w:rPr>
        <w:t xml:space="preserve"> 2020. №</w:t>
      </w:r>
      <w:r>
        <w:rPr>
          <w:rFonts w:cs="Garamond" w:ascii="Garamond" w:hAnsi="Garamond"/>
          <w:sz w:val="22"/>
          <w:szCs w:val="22"/>
          <w:lang w:val="en-US"/>
        </w:rPr>
        <w:t> </w:t>
      </w:r>
      <w:r>
        <w:rPr>
          <w:rFonts w:cs="Garamond" w:ascii="Garamond" w:hAnsi="Garamond"/>
          <w:sz w:val="22"/>
          <w:szCs w:val="22"/>
        </w:rPr>
        <w:t>4. С.</w:t>
      </w:r>
      <w:r>
        <w:rPr>
          <w:rFonts w:cs="Garamond" w:ascii="Garamond" w:hAnsi="Garamond"/>
          <w:sz w:val="22"/>
          <w:szCs w:val="22"/>
          <w:lang w:val="en-US"/>
        </w:rPr>
        <w:t> </w:t>
      </w:r>
      <w:r>
        <w:rPr>
          <w:rFonts w:cs="Garamond" w:ascii="Garamond" w:hAnsi="Garamond"/>
          <w:sz w:val="22"/>
          <w:szCs w:val="22"/>
        </w:rPr>
        <w:t>2</w:t>
      </w:r>
      <w:r>
        <w:rPr>
          <w:rFonts w:cs="Garamond" w:ascii="Garamond" w:hAnsi="Garamond"/>
          <w:sz w:val="22"/>
          <w:szCs w:val="22"/>
          <w:lang w:val="en-US"/>
        </w:rPr>
        <w:t>0</w:t>
      </w:r>
      <w:r>
        <w:rPr>
          <w:rFonts w:cs="Garamond" w:ascii="Garamond" w:hAnsi="Garamond"/>
          <w:sz w:val="22"/>
          <w:szCs w:val="22"/>
        </w:rPr>
        <w:t xml:space="preserve">–42. </w:t>
      </w:r>
      <w:r>
        <w:rPr>
          <w:rFonts w:cs="Garamond" w:ascii="Garamond" w:hAnsi="Garamond"/>
          <w:sz w:val="22"/>
          <w:szCs w:val="22"/>
          <w:lang w:val="en-US"/>
        </w:rPr>
        <w:t>DOI</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10.31696/2618-7302-2020-4-</w:t>
      </w:r>
      <w:r>
        <w:rPr>
          <w:rFonts w:cs="Garamond" w:ascii="Garamond" w:hAnsi="Garamond"/>
          <w:sz w:val="22"/>
          <w:szCs w:val="22"/>
          <w:lang w:val="en-US"/>
        </w:rPr>
        <w:t>20</w:t>
      </w:r>
      <w:r>
        <w:rPr>
          <w:rFonts w:cs="Garamond" w:ascii="Garamond" w:hAnsi="Garamond"/>
          <w:sz w:val="22"/>
          <w:szCs w:val="22"/>
        </w:rPr>
        <w:t>-42</w:t>
      </w:r>
    </w:p>
    <w:p>
      <w:pPr>
        <w:pStyle w:val="Normal"/>
        <w:spacing w:lineRule="auto" w:line="360"/>
        <w:ind w:end="-31" w:hanging="0"/>
        <w:jc w:val="center"/>
        <w:rPr>
          <w:rFonts w:ascii="Garamond" w:hAnsi="Garamond" w:cs="Garamond"/>
          <w:b/>
          <w:b/>
          <w:sz w:val="26"/>
          <w:szCs w:val="26"/>
        </w:rPr>
      </w:pPr>
      <w:r>
        <w:rPr>
          <w:rFonts w:cs="Garamond" w:ascii="Garamond" w:hAnsi="Garamond"/>
          <w:b/>
          <w:sz w:val="26"/>
          <w:szCs w:val="26"/>
          <w:lang w:val="en-US"/>
        </w:rPr>
        <w:t>RIDDLES</w:t>
      </w:r>
      <w:r>
        <w:rPr>
          <w:rFonts w:cs="Garamond" w:ascii="Garamond" w:hAnsi="Garamond"/>
          <w:b/>
          <w:sz w:val="26"/>
          <w:szCs w:val="26"/>
        </w:rPr>
        <w:t xml:space="preserve"> </w:t>
      </w:r>
      <w:r>
        <w:rPr>
          <w:rFonts w:cs="Garamond" w:ascii="Garamond" w:hAnsi="Garamond"/>
          <w:b/>
          <w:sz w:val="26"/>
          <w:szCs w:val="26"/>
          <w:lang w:val="en-US"/>
        </w:rPr>
        <w:t>OF</w:t>
      </w:r>
      <w:r>
        <w:rPr>
          <w:rFonts w:cs="Garamond" w:ascii="Garamond" w:hAnsi="Garamond"/>
          <w:b/>
          <w:sz w:val="26"/>
          <w:szCs w:val="26"/>
        </w:rPr>
        <w:t xml:space="preserve"> </w:t>
      </w:r>
      <w:r>
        <w:rPr>
          <w:rFonts w:cs="Garamond" w:ascii="Garamond" w:hAnsi="Garamond"/>
          <w:b/>
          <w:sz w:val="26"/>
          <w:szCs w:val="26"/>
          <w:lang w:val="en-US"/>
        </w:rPr>
        <w:t>THE</w:t>
      </w:r>
      <w:r>
        <w:rPr>
          <w:rFonts w:cs="Garamond" w:ascii="Garamond" w:hAnsi="Garamond"/>
          <w:b/>
          <w:sz w:val="26"/>
          <w:szCs w:val="26"/>
        </w:rPr>
        <w:t xml:space="preserve"> </w:t>
      </w:r>
      <w:r>
        <w:rPr>
          <w:rFonts w:cs="Garamond" w:ascii="Garamond" w:hAnsi="Garamond"/>
          <w:b/>
          <w:sz w:val="26"/>
          <w:szCs w:val="26"/>
          <w:lang w:val="en-US"/>
        </w:rPr>
        <w:t>PREDYNASTIC</w:t>
      </w:r>
      <w:r>
        <w:rPr>
          <w:rFonts w:cs="Garamond" w:ascii="Garamond" w:hAnsi="Garamond"/>
          <w:b/>
          <w:sz w:val="26"/>
          <w:szCs w:val="26"/>
        </w:rPr>
        <w:t xml:space="preserve"> </w:t>
      </w:r>
      <w:r>
        <w:rPr>
          <w:rFonts w:cs="Garamond" w:ascii="Garamond" w:hAnsi="Garamond"/>
          <w:b/>
          <w:sz w:val="26"/>
          <w:szCs w:val="26"/>
          <w:lang w:val="en-US"/>
        </w:rPr>
        <w:t>PETROGLYPHS</w:t>
      </w:r>
    </w:p>
    <w:p>
      <w:pPr>
        <w:pStyle w:val="Normal"/>
        <w:spacing w:lineRule="auto" w:line="360"/>
        <w:ind w:end="-31" w:hanging="0"/>
        <w:jc w:val="center"/>
        <w:rPr/>
      </w:pPr>
      <w:r>
        <w:rPr>
          <w:rFonts w:cs="Garamond" w:ascii="Garamond" w:hAnsi="Garamond"/>
          <w:b/>
          <w:sz w:val="26"/>
          <w:szCs w:val="26"/>
          <w:lang w:val="en-US"/>
        </w:rPr>
        <w:t>ADJUSTED</w:t>
      </w:r>
      <w:r>
        <w:rPr>
          <w:rFonts w:cs="Garamond" w:ascii="Garamond" w:hAnsi="Garamond"/>
          <w:b/>
          <w:sz w:val="26"/>
          <w:szCs w:val="26"/>
        </w:rPr>
        <w:t xml:space="preserve"> </w:t>
      </w:r>
      <w:r>
        <w:rPr>
          <w:rFonts w:cs="Garamond" w:ascii="Garamond" w:hAnsi="Garamond"/>
          <w:b/>
          <w:sz w:val="26"/>
          <w:szCs w:val="26"/>
          <w:lang w:val="en-US"/>
        </w:rPr>
        <w:t>FOR</w:t>
      </w:r>
      <w:r>
        <w:rPr>
          <w:rFonts w:cs="Garamond" w:ascii="Garamond" w:hAnsi="Garamond"/>
          <w:b/>
          <w:sz w:val="26"/>
          <w:szCs w:val="26"/>
        </w:rPr>
        <w:t xml:space="preserve"> </w:t>
      </w:r>
      <w:r>
        <w:rPr>
          <w:rFonts w:cs="Garamond" w:ascii="Garamond" w:hAnsi="Garamond"/>
          <w:b/>
          <w:sz w:val="26"/>
          <w:szCs w:val="26"/>
          <w:lang w:val="en-US"/>
        </w:rPr>
        <w:t>CLIMATE</w:t>
      </w:r>
      <w:r>
        <w:rPr>
          <w:rFonts w:cs="Garamond" w:ascii="Garamond" w:hAnsi="Garamond"/>
          <w:b/>
          <w:sz w:val="26"/>
          <w:szCs w:val="26"/>
        </w:rPr>
        <w:t xml:space="preserve"> </w:t>
      </w:r>
      <w:r>
        <w:rPr>
          <w:rFonts w:cs="Garamond" w:ascii="Garamond" w:hAnsi="Garamond"/>
          <w:b/>
          <w:sz w:val="26"/>
          <w:szCs w:val="26"/>
          <w:lang w:val="en-US"/>
        </w:rPr>
        <w:t>AND</w:t>
      </w:r>
      <w:r>
        <w:rPr>
          <w:rFonts w:cs="Garamond" w:ascii="Garamond" w:hAnsi="Garamond"/>
          <w:b/>
          <w:sz w:val="26"/>
          <w:szCs w:val="26"/>
        </w:rPr>
        <w:t xml:space="preserve"> </w:t>
      </w:r>
      <w:r>
        <w:rPr>
          <w:rFonts w:cs="Garamond" w:ascii="Garamond" w:hAnsi="Garamond"/>
          <w:b/>
          <w:sz w:val="26"/>
          <w:szCs w:val="26"/>
          <w:lang w:val="en-US"/>
        </w:rPr>
        <w:t>HYDROLOGY</w:t>
      </w:r>
      <w:r>
        <w:rPr>
          <w:rFonts w:cs="Garamond" w:ascii="Garamond" w:hAnsi="Garamond"/>
          <w:b/>
          <w:sz w:val="26"/>
          <w:szCs w:val="26"/>
        </w:rPr>
        <w:t>:</w:t>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BOATS</w:t>
      </w:r>
      <w:r>
        <w:rPr>
          <w:rFonts w:cs="Garamond" w:ascii="Garamond" w:hAnsi="Garamond"/>
          <w:b/>
          <w:sz w:val="26"/>
          <w:szCs w:val="26"/>
        </w:rPr>
        <w:t xml:space="preserve"> (</w:t>
      </w:r>
      <w:r>
        <w:rPr>
          <w:rFonts w:cs="Garamond" w:ascii="Garamond" w:hAnsi="Garamond"/>
          <w:b/>
          <w:sz w:val="26"/>
          <w:szCs w:val="26"/>
          <w:lang w:val="en-US"/>
        </w:rPr>
        <w:t>AND</w:t>
      </w:r>
      <w:r>
        <w:rPr>
          <w:rFonts w:cs="Garamond" w:ascii="Garamond" w:hAnsi="Garamond"/>
          <w:b/>
          <w:sz w:val="26"/>
          <w:szCs w:val="26"/>
        </w:rPr>
        <w:t xml:space="preserve"> </w:t>
      </w:r>
      <w:r>
        <w:rPr>
          <w:rFonts w:cs="Garamond" w:ascii="Garamond" w:hAnsi="Garamond"/>
          <w:b/>
          <w:sz w:val="26"/>
          <w:szCs w:val="26"/>
          <w:lang w:val="en-US"/>
        </w:rPr>
        <w:t>RIVERS?) IN THE UPPER EGYPTIAN EASTERN WADIS</w:t>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Dimitry B. Proussakov</w:t>
      </w:r>
    </w:p>
    <w:p>
      <w:pPr>
        <w:pStyle w:val="Normal"/>
        <w:ind w:end="-31" w:firstLine="720"/>
        <w:jc w:val="both"/>
        <w:rPr/>
      </w:pPr>
      <w:r>
        <w:rPr>
          <w:rFonts w:cs="Garamond" w:ascii="Garamond" w:hAnsi="Garamond"/>
          <w:sz w:val="22"/>
          <w:szCs w:val="22"/>
          <w:lang w:val="en-US"/>
        </w:rPr>
        <w:t>Prehistoric rock drawings of large boats in wadis of the central Eastern Desert, Egypt, divided their investigators into two main groups with quite different views about their origins and cultural affiliation. One of the groups (P. Červiček et al.) insisted on ‘religious’ (cultic, magic, etc.) nature of these petroglyphs attributing them to local traditions but actually tearing away from the reality, primarily on the ground that boats could have never come to be in the desert many tens of kilometers from both the Nile and the Red Sea. Another one, following ideas of W. M. Flinders Petrie, interpreted these boat images as ships of a ‘Dynastic Race’ of oversea invaders who conquered Egypt and consolidated her under their power. This hypothesis, once disapproved by most of archaeologists and Egyptologists, has recently acquired many new adherents; it assumes, in particular, the most real rivers to have flown at the time of the earliest boat petroglyphs (5</w:t>
      </w:r>
      <w:r>
        <w:rPr>
          <w:rFonts w:cs="Garamond" w:ascii="Garamond" w:hAnsi="Garamond"/>
          <w:sz w:val="22"/>
          <w:szCs w:val="22"/>
          <w:vertAlign w:val="superscript"/>
          <w:lang w:val="en-US"/>
        </w:rPr>
        <w:t>th</w:t>
      </w:r>
      <w:r>
        <w:rPr>
          <w:rFonts w:cs="Garamond" w:ascii="Garamond" w:hAnsi="Garamond"/>
          <w:sz w:val="22"/>
          <w:szCs w:val="22"/>
          <w:lang w:val="en-US"/>
        </w:rPr>
        <w:t xml:space="preserve"> to 4</w:t>
      </w:r>
      <w:r>
        <w:rPr>
          <w:rFonts w:cs="Garamond" w:ascii="Garamond" w:hAnsi="Garamond"/>
          <w:sz w:val="22"/>
          <w:szCs w:val="22"/>
          <w:vertAlign w:val="superscript"/>
          <w:lang w:val="en-US"/>
        </w:rPr>
        <w:t>th</w:t>
      </w:r>
      <w:r>
        <w:rPr>
          <w:rFonts w:cs="Garamond" w:ascii="Garamond" w:hAnsi="Garamond"/>
          <w:sz w:val="22"/>
          <w:szCs w:val="22"/>
          <w:lang w:val="en-US"/>
        </w:rPr>
        <w:t xml:space="preserve"> Millennia B.C.) along Wadi Hammamat and Wadi Barramiya, where short routes pass from the Red Sea coast to the Nile. Even rejecting Petrie’s ‘diffusionistic’ version on the whole, one cannot ignore the palaeogeographical fact that the climate of Predynastic Egypt was moist, characterized by monsoon rains which, in combination with geomorphology of the Eastern Desert, could only have favoured here in the period under consideration the formation of regular tributaries of the Nile.</w:t>
      </w:r>
    </w:p>
    <w:p>
      <w:pPr>
        <w:pStyle w:val="Normal"/>
        <w:ind w:end="-31" w:firstLine="720"/>
        <w:jc w:val="both"/>
        <w:rPr>
          <w:rFonts w:ascii="Garamond" w:hAnsi="Garamond" w:cs="Garamond"/>
          <w:sz w:val="22"/>
          <w:szCs w:val="22"/>
          <w:lang w:val="en-US"/>
        </w:rPr>
      </w:pPr>
      <w:r>
        <w:rPr>
          <w:rFonts w:cs="Garamond" w:ascii="Garamond" w:hAnsi="Garamond"/>
          <w:i/>
          <w:sz w:val="22"/>
          <w:szCs w:val="22"/>
          <w:lang w:val="en-US"/>
        </w:rPr>
        <w:t>Keywords:</w:t>
      </w:r>
      <w:r>
        <w:rPr>
          <w:rFonts w:cs="Garamond" w:ascii="Garamond" w:hAnsi="Garamond"/>
          <w:sz w:val="22"/>
          <w:szCs w:val="22"/>
          <w:lang w:val="en-US"/>
        </w:rPr>
        <w:t xml:space="preserve"> Holocene, climate, hydrology, the River Nile, Eastern Desert, Wadi Hammamat, Wadi Barramiya, petroglyphs, boats, Predynastic period.</w:t>
      </w:r>
    </w:p>
    <w:p>
      <w:pPr>
        <w:pStyle w:val="Normal"/>
        <w:ind w:end="-31" w:firstLine="720"/>
        <w:jc w:val="both"/>
        <w:rPr>
          <w:rFonts w:ascii="Garamond" w:hAnsi="Garamond" w:cs="Garamond"/>
          <w:b/>
          <w:b/>
          <w:sz w:val="22"/>
          <w:szCs w:val="22"/>
        </w:rPr>
      </w:pPr>
      <w:r>
        <w:rPr>
          <w:rFonts w:cs="Garamond" w:ascii="Garamond" w:hAnsi="Garamond"/>
          <w:i/>
          <w:iCs/>
          <w:sz w:val="22"/>
          <w:szCs w:val="22"/>
          <w:lang w:val="en-US"/>
        </w:rPr>
        <w:t>For citation:</w:t>
      </w:r>
      <w:r>
        <w:rPr>
          <w:rFonts w:cs="Garamond" w:ascii="Garamond" w:hAnsi="Garamond"/>
          <w:sz w:val="22"/>
          <w:szCs w:val="22"/>
          <w:lang w:val="en-US"/>
        </w:rPr>
        <w:t xml:space="preserve"> Proussakov D. B. </w:t>
      </w:r>
      <w:r>
        <w:rPr>
          <w:rFonts w:cs="Garamond" w:ascii="Garamond" w:hAnsi="Garamond"/>
          <w:bCs/>
          <w:sz w:val="22"/>
          <w:szCs w:val="22"/>
          <w:lang w:val="en-US"/>
        </w:rPr>
        <w:t>Riddles of the Predynastic Petroglyphs Adjusted for Climate and Hydrology: Boats (and Rivers?) in the Upper Egyptian Eastern Wadis.</w:t>
      </w:r>
      <w:r>
        <w:rPr>
          <w:rFonts w:cs="Garamond" w:ascii="Garamond" w:hAnsi="Garamond"/>
          <w:sz w:val="22"/>
          <w:szCs w:val="22"/>
          <w:lang w:val="en-US"/>
        </w:rPr>
        <w:t xml:space="preserve"> </w:t>
      </w:r>
      <w:r>
        <w:rPr>
          <w:rFonts w:cs="Garamond" w:ascii="Garamond" w:hAnsi="Garamond"/>
          <w:i/>
          <w:sz w:val="22"/>
          <w:szCs w:val="22"/>
          <w:lang w:val="en-US"/>
        </w:rPr>
        <w:t>Vestnik</w:t>
      </w:r>
      <w:r>
        <w:rPr>
          <w:rFonts w:cs="Garamond" w:ascii="Garamond" w:hAnsi="Garamond"/>
          <w:i/>
          <w:sz w:val="22"/>
          <w:szCs w:val="22"/>
        </w:rPr>
        <w:t xml:space="preserve"> </w:t>
      </w:r>
      <w:r>
        <w:rPr>
          <w:rFonts w:cs="Garamond" w:ascii="Garamond" w:hAnsi="Garamond"/>
          <w:i/>
          <w:sz w:val="22"/>
          <w:szCs w:val="22"/>
          <w:lang w:val="en-US"/>
        </w:rPr>
        <w:t>Instituta</w:t>
      </w:r>
      <w:r>
        <w:rPr>
          <w:rFonts w:cs="Garamond" w:ascii="Garamond" w:hAnsi="Garamond"/>
          <w:i/>
          <w:sz w:val="22"/>
          <w:szCs w:val="22"/>
        </w:rPr>
        <w:t xml:space="preserve"> </w:t>
      </w:r>
      <w:r>
        <w:rPr>
          <w:rFonts w:cs="Garamond" w:ascii="Garamond" w:hAnsi="Garamond"/>
          <w:i/>
          <w:sz w:val="22"/>
          <w:szCs w:val="22"/>
          <w:lang w:val="en-US"/>
        </w:rPr>
        <w:t>vostokovedenija</w:t>
      </w:r>
      <w:r>
        <w:rPr>
          <w:rFonts w:cs="Garamond" w:ascii="Garamond" w:hAnsi="Garamond"/>
          <w:i/>
          <w:sz w:val="22"/>
          <w:szCs w:val="22"/>
        </w:rPr>
        <w:t xml:space="preserve"> </w:t>
      </w:r>
      <w:r>
        <w:rPr>
          <w:rFonts w:cs="Garamond" w:ascii="Garamond" w:hAnsi="Garamond"/>
          <w:i/>
          <w:sz w:val="22"/>
          <w:szCs w:val="22"/>
          <w:lang w:val="en-US"/>
        </w:rPr>
        <w:t>RAN</w:t>
      </w:r>
      <w:r>
        <w:rPr>
          <w:rFonts w:cs="Garamond" w:ascii="Garamond" w:hAnsi="Garamond"/>
          <w:sz w:val="22"/>
          <w:szCs w:val="22"/>
        </w:rPr>
        <w:t xml:space="preserve">. 2020. 4. </w:t>
      </w:r>
      <w:r>
        <w:rPr>
          <w:rFonts w:cs="Garamond" w:ascii="Garamond" w:hAnsi="Garamond"/>
          <w:sz w:val="22"/>
          <w:szCs w:val="22"/>
          <w:lang w:val="en-US"/>
        </w:rPr>
        <w:t>Pp</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 xml:space="preserve">20–42. </w:t>
      </w:r>
      <w:r>
        <w:rPr>
          <w:rFonts w:cs="Garamond" w:ascii="Garamond" w:hAnsi="Garamond"/>
          <w:sz w:val="22"/>
          <w:szCs w:val="22"/>
          <w:lang w:val="en-US"/>
        </w:rPr>
        <w:t>DOI</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10.31696/2618-7302-2020-4-20-42</w:t>
      </w:r>
    </w:p>
    <w:p>
      <w:pPr>
        <w:pStyle w:val="Normal"/>
        <w:ind w:end="-31" w:firstLine="720"/>
        <w:jc w:val="both"/>
        <w:rPr>
          <w:rFonts w:ascii="Garamond" w:hAnsi="Garamond" w:cs="Garamond"/>
          <w:b/>
          <w:b/>
          <w:sz w:val="22"/>
          <w:szCs w:val="22"/>
        </w:rPr>
      </w:pPr>
      <w:r>
        <w:rPr>
          <w:rFonts w:cs="Garamond" w:ascii="Garamond" w:hAnsi="Garamond"/>
          <w:b/>
          <w:sz w:val="22"/>
          <w:szCs w:val="22"/>
        </w:rPr>
      </w:r>
    </w:p>
    <w:p>
      <w:pPr>
        <w:pStyle w:val="Normal"/>
        <w:autoSpaceDE w:val="false"/>
        <w:ind w:end="-31" w:hanging="0"/>
        <w:jc w:val="both"/>
        <w:rPr>
          <w:rFonts w:ascii="Garamond" w:hAnsi="Garamond" w:cs="Garamond"/>
          <w:sz w:val="24"/>
          <w:szCs w:val="24"/>
        </w:rPr>
      </w:pPr>
      <w:r>
        <w:rPr/>
        <w:t>Е</w:t>
      </w:r>
      <w:r>
        <w:rPr>
          <w:rFonts w:cs="Garamond" w:ascii="Garamond" w:hAnsi="Garamond"/>
          <w:sz w:val="24"/>
          <w:szCs w:val="24"/>
        </w:rPr>
        <w:t>гипетская доисторическая петроглифика впадающих в долину Нила вади, при всей своей очевидной культурно-эстетической и научной значимости, не избалована вниманием ученых. В самых современных обзорных публикациях, посвященных наскальным изображениям мира, среди десятков их скоплений «от Северного полярного круга до оконечности Южной Америки, от пещер южной Франции до американского юго-запада», включая даже Синайский полуостров, петроглифы Египта могут вовсе отсутствовать (см.: [</w:t>
      </w:r>
      <w:r>
        <w:rPr>
          <w:rFonts w:cs="Garamond" w:ascii="Garamond" w:hAnsi="Garamond"/>
          <w:sz w:val="24"/>
          <w:szCs w:val="24"/>
          <w:lang w:val="en-US"/>
        </w:rPr>
        <w:t>Clottes</w:t>
      </w:r>
      <w:r>
        <w:rPr>
          <w:rFonts w:cs="Garamond" w:ascii="Garamond" w:hAnsi="Garamond"/>
          <w:sz w:val="24"/>
          <w:szCs w:val="24"/>
        </w:rPr>
        <w:t>, 2002]). И дело здесь едва ли только в «худшем качестве» этих памятников, выбитых или нацарапанных на разнообразных каменных поверхностях и визуально куда менее эффектных, чем, например, первобытные живописные панно Тассилин-Аджера, Южной Африки или Австралии [</w:t>
      </w:r>
      <w:r>
        <w:rPr>
          <w:rFonts w:cs="Garamond" w:ascii="Garamond" w:hAnsi="Garamond"/>
          <w:sz w:val="24"/>
          <w:szCs w:val="24"/>
          <w:lang w:val="en-US"/>
        </w:rPr>
        <w:t>Coulson</w:t>
      </w:r>
      <w:r>
        <w:rPr>
          <w:rFonts w:cs="Garamond" w:ascii="Garamond" w:hAnsi="Garamond"/>
          <w:sz w:val="24"/>
          <w:szCs w:val="24"/>
        </w:rPr>
        <w:t xml:space="preserve">, </w:t>
      </w:r>
      <w:r>
        <w:rPr>
          <w:rFonts w:cs="Garamond" w:ascii="Garamond" w:hAnsi="Garamond"/>
          <w:sz w:val="24"/>
          <w:szCs w:val="24"/>
          <w:lang w:val="en-US"/>
        </w:rPr>
        <w:t>Campbell</w:t>
      </w:r>
      <w:r>
        <w:rPr>
          <w:rFonts w:cs="Garamond" w:ascii="Garamond" w:hAnsi="Garamond"/>
          <w:sz w:val="24"/>
          <w:szCs w:val="24"/>
        </w:rPr>
        <w:t xml:space="preserve">, 2001; </w:t>
      </w:r>
      <w:r>
        <w:rPr>
          <w:rFonts w:cs="Garamond" w:ascii="Garamond" w:hAnsi="Garamond"/>
          <w:sz w:val="24"/>
          <w:szCs w:val="24"/>
          <w:lang w:val="en-US"/>
        </w:rPr>
        <w:t>Flood</w:t>
      </w:r>
      <w:r>
        <w:rPr>
          <w:rFonts w:cs="Garamond" w:ascii="Garamond" w:hAnsi="Garamond"/>
          <w:sz w:val="24"/>
          <w:szCs w:val="24"/>
        </w:rPr>
        <w:t xml:space="preserve">, 1997; </w:t>
      </w:r>
      <w:r>
        <w:rPr>
          <w:rFonts w:cs="Garamond" w:ascii="Garamond" w:hAnsi="Garamond"/>
          <w:sz w:val="24"/>
          <w:szCs w:val="24"/>
          <w:lang w:val="en-US"/>
        </w:rPr>
        <w:t>Lhote</w:t>
      </w:r>
      <w:r>
        <w:rPr>
          <w:rFonts w:cs="Garamond" w:ascii="Garamond" w:hAnsi="Garamond"/>
          <w:sz w:val="24"/>
          <w:szCs w:val="24"/>
        </w:rPr>
        <w:t>, 1958], а потому и не слишком привлекательных для историков искусства и египтологов. Что касается последних, то их профессиональные интересы и изыскания чаще всего не распространялись на «примитивные» рисунки без письменного, пусть хотя бы пиктографического, сопровождения, тем более что в непосредственном территориальном соседстве с ними находится множество заманчивых граффити фараоновской эпохи, избавленных от этого существенного недостатка [</w:t>
      </w:r>
      <w:r>
        <w:rPr>
          <w:rFonts w:cs="Garamond" w:ascii="Garamond" w:hAnsi="Garamond"/>
          <w:sz w:val="24"/>
          <w:szCs w:val="24"/>
          <w:lang w:val="en-US"/>
        </w:rPr>
        <w:t>Couyat</w:t>
      </w:r>
      <w:r>
        <w:rPr>
          <w:rFonts w:cs="Garamond" w:ascii="Garamond" w:hAnsi="Garamond"/>
          <w:sz w:val="24"/>
          <w:szCs w:val="24"/>
        </w:rPr>
        <w:t xml:space="preserve">, </w:t>
      </w:r>
      <w:r>
        <w:rPr>
          <w:rFonts w:cs="Garamond" w:ascii="Garamond" w:hAnsi="Garamond"/>
          <w:sz w:val="24"/>
          <w:szCs w:val="24"/>
          <w:lang w:val="en-US"/>
        </w:rPr>
        <w:t>Montet</w:t>
      </w:r>
      <w:r>
        <w:rPr>
          <w:rFonts w:cs="Garamond" w:ascii="Garamond" w:hAnsi="Garamond"/>
          <w:sz w:val="24"/>
          <w:szCs w:val="24"/>
        </w:rPr>
        <w:t xml:space="preserve">, 1912; </w:t>
      </w:r>
      <w:r>
        <w:rPr>
          <w:rFonts w:cs="Garamond" w:ascii="Garamond" w:hAnsi="Garamond"/>
          <w:sz w:val="24"/>
          <w:szCs w:val="24"/>
          <w:lang w:val="en-US"/>
        </w:rPr>
        <w:t>Goyon</w:t>
      </w:r>
      <w:r>
        <w:rPr>
          <w:rFonts w:cs="Garamond" w:ascii="Garamond" w:hAnsi="Garamond"/>
          <w:sz w:val="24"/>
          <w:szCs w:val="24"/>
        </w:rPr>
        <w:t xml:space="preserve">, 1957; </w:t>
      </w:r>
      <w:r>
        <w:rPr>
          <w:rFonts w:cs="Garamond" w:ascii="Garamond" w:hAnsi="Garamond"/>
          <w:sz w:val="24"/>
          <w:szCs w:val="24"/>
          <w:lang w:val="en-US"/>
        </w:rPr>
        <w:t>Rothe</w:t>
      </w:r>
      <w:r>
        <w:rPr>
          <w:rFonts w:cs="Garamond" w:ascii="Garamond" w:hAnsi="Garamond"/>
          <w:sz w:val="24"/>
          <w:szCs w:val="24"/>
        </w:rPr>
        <w:t xml:space="preserve">, </w:t>
      </w:r>
      <w:r>
        <w:rPr>
          <w:rFonts w:cs="Garamond" w:ascii="Garamond" w:hAnsi="Garamond"/>
          <w:sz w:val="24"/>
          <w:szCs w:val="24"/>
          <w:lang w:val="en-US"/>
        </w:rPr>
        <w:t>Miller</w:t>
      </w:r>
      <w:r>
        <w:rPr>
          <w:rFonts w:cs="Garamond" w:ascii="Garamond" w:hAnsi="Garamond"/>
          <w:sz w:val="24"/>
          <w:szCs w:val="24"/>
        </w:rPr>
        <w:t xml:space="preserve">, </w:t>
      </w:r>
      <w:r>
        <w:rPr>
          <w:rFonts w:cs="Garamond" w:ascii="Garamond" w:hAnsi="Garamond"/>
          <w:sz w:val="24"/>
          <w:szCs w:val="24"/>
          <w:lang w:val="en-US"/>
        </w:rPr>
        <w:t>Rapp</w:t>
      </w:r>
      <w:r>
        <w:rPr>
          <w:rFonts w:cs="Garamond" w:ascii="Garamond" w:hAnsi="Garamond"/>
          <w:sz w:val="24"/>
          <w:szCs w:val="24"/>
        </w:rPr>
        <w:t>, 2008]. Как оговаривал М.</w:t>
      </w:r>
      <w:r>
        <w:rPr>
          <w:rFonts w:cs="Garamond" w:ascii="Garamond" w:hAnsi="Garamond"/>
          <w:sz w:val="24"/>
          <w:szCs w:val="24"/>
          <w:lang w:val="en-US"/>
        </w:rPr>
        <w:t> </w:t>
      </w:r>
      <w:r>
        <w:rPr>
          <w:rFonts w:cs="Garamond" w:ascii="Garamond" w:hAnsi="Garamond"/>
          <w:sz w:val="24"/>
          <w:szCs w:val="24"/>
        </w:rPr>
        <w:t>А.</w:t>
      </w:r>
      <w:r>
        <w:rPr>
          <w:rFonts w:cs="Garamond" w:ascii="Garamond" w:hAnsi="Garamond"/>
          <w:sz w:val="24"/>
          <w:szCs w:val="24"/>
          <w:lang w:val="en-US"/>
        </w:rPr>
        <w:t> </w:t>
      </w:r>
      <w:r>
        <w:rPr>
          <w:rFonts w:cs="Garamond" w:ascii="Garamond" w:hAnsi="Garamond"/>
          <w:sz w:val="24"/>
          <w:szCs w:val="24"/>
        </w:rPr>
        <w:t>Лебедев, специализирующийся на художественно-эпиграфическом наследии древнеегипетских пустынь с их экспедиционными путями, рудниками и каменоломнями, «я брал на себя смелость описывать и анализировать лишь те изображения, которые, по моему мнению, составляют единое целое с точно датируемыми текстами» [Лебедев, 2015].</w:t>
      </w:r>
    </w:p>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hanging="0"/>
        <w:jc w:val="center"/>
        <w:rPr>
          <w:rFonts w:ascii="Garamond" w:hAnsi="Garamond" w:cs="Garamond"/>
          <w:sz w:val="22"/>
          <w:szCs w:val="22"/>
        </w:rPr>
      </w:pPr>
      <w:r>
        <w:rPr>
          <w:rFonts w:cs="Garamond" w:ascii="Garamond" w:hAnsi="Garamond"/>
          <w:sz w:val="22"/>
          <w:szCs w:val="22"/>
        </w:rPr>
        <w:drawing>
          <wp:inline distT="0" distB="0" distL="0" distR="0">
            <wp:extent cx="3118485" cy="2794000"/>
            <wp:effectExtent l="0" t="0" r="0" b="0"/>
            <wp:docPr id="2"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title=""/>
                    <pic:cNvPicPr>
                      <a:picLocks noChangeAspect="1" noChangeArrowheads="1"/>
                    </pic:cNvPicPr>
                  </pic:nvPicPr>
                  <pic:blipFill>
                    <a:blip r:embed="rId3"/>
                    <a:srcRect l="-1" t="-1" r="-1" b="-1"/>
                    <a:stretch>
                      <a:fillRect/>
                    </a:stretch>
                  </pic:blipFill>
                  <pic:spPr bwMode="auto">
                    <a:xfrm>
                      <a:off x="0" y="0"/>
                      <a:ext cx="3118485" cy="2794000"/>
                    </a:xfrm>
                    <a:prstGeom prst="rect">
                      <a:avLst/>
                    </a:prstGeom>
                  </pic:spPr>
                </pic:pic>
              </a:graphicData>
            </a:graphic>
          </wp:inline>
        </w:drawing>
      </w:r>
      <w:r>
        <w:rPr>
          <w:rFonts w:eastAsia="Garamond" w:cs="Garamond" w:ascii="Garamond" w:hAnsi="Garamond"/>
          <w:sz w:val="22"/>
          <w:szCs w:val="22"/>
        </w:rPr>
        <w:t xml:space="preserve">      </w:t>
      </w:r>
      <w:r>
        <w:rPr>
          <w:rFonts w:cs="Garamond" w:ascii="Garamond" w:hAnsi="Garamond"/>
          <w:sz w:val="22"/>
          <w:szCs w:val="22"/>
        </w:rPr>
        <w:drawing>
          <wp:inline distT="0" distB="0" distL="0" distR="0">
            <wp:extent cx="2251710" cy="2853690"/>
            <wp:effectExtent l="0" t="0" r="0" b="0"/>
            <wp:docPr id="3" name="Изображение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title=""/>
                    <pic:cNvPicPr>
                      <a:picLocks noChangeAspect="1" noChangeArrowheads="1"/>
                    </pic:cNvPicPr>
                  </pic:nvPicPr>
                  <pic:blipFill>
                    <a:blip r:embed="rId4"/>
                    <a:srcRect l="-1" t="-1" r="-1" b="-1"/>
                    <a:stretch>
                      <a:fillRect/>
                    </a:stretch>
                  </pic:blipFill>
                  <pic:spPr bwMode="auto">
                    <a:xfrm>
                      <a:off x="0" y="0"/>
                      <a:ext cx="2251710" cy="2853690"/>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1.</w:t>
      </w:r>
      <w:r>
        <w:rPr>
          <w:rFonts w:cs="Garamond" w:ascii="Garamond" w:hAnsi="Garamond"/>
          <w:sz w:val="22"/>
          <w:szCs w:val="22"/>
        </w:rPr>
        <w:t xml:space="preserve"> «Серповидные» и «прямоугольные» лодки Х.</w:t>
      </w:r>
      <w:r>
        <w:rPr>
          <w:rFonts w:cs="Garamond" w:ascii="Garamond" w:hAnsi="Garamond"/>
          <w:sz w:val="22"/>
          <w:szCs w:val="22"/>
          <w:lang w:val="en-US"/>
        </w:rPr>
        <w:t> </w:t>
      </w:r>
      <w:r>
        <w:rPr>
          <w:rFonts w:cs="Garamond" w:ascii="Garamond" w:hAnsi="Garamond"/>
          <w:sz w:val="22"/>
          <w:szCs w:val="22"/>
        </w:rPr>
        <w:t>Винклера</w:t>
      </w:r>
    </w:p>
    <w:p>
      <w:pPr>
        <w:pStyle w:val="Normal"/>
        <w:autoSpaceDE w:val="false"/>
        <w:ind w:end="-31" w:hanging="0"/>
        <w:jc w:val="center"/>
        <w:rPr/>
      </w:pPr>
      <w:r>
        <w:rPr>
          <w:rFonts w:cs="Garamond" w:ascii="Garamond" w:hAnsi="Garamond"/>
          <w:sz w:val="22"/>
          <w:szCs w:val="22"/>
        </w:rPr>
        <w:t>(по: [</w:t>
      </w:r>
      <w:r>
        <w:rPr>
          <w:rFonts w:cs="Garamond" w:ascii="Garamond" w:hAnsi="Garamond"/>
          <w:sz w:val="22"/>
          <w:szCs w:val="22"/>
          <w:lang w:val="en-US"/>
        </w:rPr>
        <w:t>Winkler</w:t>
      </w:r>
      <w:r>
        <w:rPr>
          <w:rFonts w:cs="Garamond" w:ascii="Garamond" w:hAnsi="Garamond"/>
          <w:sz w:val="22"/>
          <w:szCs w:val="22"/>
        </w:rPr>
        <w:t xml:space="preserve">, 1938–1939, </w:t>
      </w:r>
      <w:r>
        <w:rPr>
          <w:rFonts w:cs="Garamond" w:ascii="Garamond" w:hAnsi="Garamond"/>
          <w:sz w:val="22"/>
          <w:szCs w:val="22"/>
          <w:lang w:val="en-US"/>
        </w:rPr>
        <w:t>pt</w:t>
      </w:r>
      <w:r>
        <w:rPr>
          <w:rFonts w:cs="Garamond" w:ascii="Garamond" w:hAnsi="Garamond"/>
          <w:sz w:val="22"/>
          <w:szCs w:val="22"/>
        </w:rPr>
        <w:t xml:space="preserve">. 1, </w:t>
      </w:r>
      <w:r>
        <w:rPr>
          <w:rFonts w:cs="Garamond" w:ascii="Garamond" w:hAnsi="Garamond"/>
          <w:sz w:val="22"/>
          <w:szCs w:val="22"/>
          <w:lang w:val="en-US"/>
        </w:rPr>
        <w:t>pl</w:t>
      </w:r>
      <w:r>
        <w:rPr>
          <w:rFonts w:cs="Garamond" w:ascii="Garamond" w:hAnsi="Garamond"/>
          <w:sz w:val="22"/>
          <w:szCs w:val="22"/>
        </w:rPr>
        <w:t>. </w:t>
      </w:r>
      <w:r>
        <w:rPr>
          <w:rFonts w:cs="Garamond" w:ascii="Garamond" w:hAnsi="Garamond"/>
          <w:sz w:val="22"/>
          <w:szCs w:val="22"/>
          <w:lang w:val="en-US"/>
        </w:rPr>
        <w:t>XXXIII</w:t>
      </w:r>
      <w:r>
        <w:rPr>
          <w:rFonts w:cs="Garamond" w:ascii="Garamond" w:hAnsi="Garamond"/>
          <w:sz w:val="22"/>
          <w:szCs w:val="22"/>
        </w:rPr>
        <w:t xml:space="preserve">, </w:t>
      </w:r>
      <w:r>
        <w:rPr>
          <w:rFonts w:cs="Garamond" w:ascii="Garamond" w:hAnsi="Garamond"/>
          <w:sz w:val="22"/>
          <w:szCs w:val="22"/>
          <w:lang w:val="en-US"/>
        </w:rPr>
        <w:t>XXXVII</w:t>
      </w:r>
      <w:r>
        <w:rPr>
          <w:rFonts w:cs="Garamond" w:ascii="Garamond" w:hAnsi="Garamond"/>
          <w:sz w:val="22"/>
          <w:szCs w:val="22"/>
        </w:rPr>
        <w:t>])</w:t>
      </w:r>
    </w:p>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firstLine="720"/>
        <w:jc w:val="both"/>
        <w:rPr/>
      </w:pPr>
      <w:r>
        <w:rPr>
          <w:rFonts w:cs="Garamond" w:ascii="Garamond" w:hAnsi="Garamond"/>
          <w:sz w:val="24"/>
          <w:szCs w:val="24"/>
        </w:rPr>
        <w:t>Закономерно, что и целенаправленным поиском дописьменных наскальных рисунков в Египте занимались не сложившиеся поколениями египтологические или археологические школы, а отдельные энтузиасты, стремившиеся постичь смыслы именно этого все еще не поддающегося надежным абсолютным датировкам пласта древнейшей изобразительности, из которого они пытались извлечь этнические, исторические или культурные корни цивилизации фараонов, несомненно, в какой-то мере там сокрытые (</w:t>
      </w:r>
      <w:r>
        <w:rPr>
          <w:rFonts w:cs="Garamond" w:ascii="Garamond" w:hAnsi="Garamond"/>
          <w:sz w:val="24"/>
          <w:szCs w:val="24"/>
          <w:lang w:val="en-US"/>
        </w:rPr>
        <w:t>c</w:t>
      </w:r>
      <w:r>
        <w:rPr>
          <w:rFonts w:cs="Garamond" w:ascii="Garamond" w:hAnsi="Garamond"/>
          <w:sz w:val="24"/>
          <w:szCs w:val="24"/>
        </w:rPr>
        <w:t>р.: [Куценков, Чегодаев, 2014]). Пионером этой количественно незначительной группы полевых искателей, продвигавшихся удаленными от Нила маршрутами первобытных художников, был немецкий антрополог Ханс Винклер, который в 1930-х гг. сначала самостоятельно обследовал Вади Хаммамат от Коптоса на Реке до Кусейра на Красном море, а затем недолго возглавлял научную экспедицию в верхнеегипетские Восточную и Западную пустыни под финансовым патронажем английского мецената Роберта Монда [</w:t>
      </w:r>
      <w:r>
        <w:rPr>
          <w:rFonts w:cs="Garamond" w:ascii="Garamond" w:hAnsi="Garamond"/>
          <w:sz w:val="24"/>
          <w:szCs w:val="24"/>
          <w:lang w:val="en-US"/>
        </w:rPr>
        <w:t>Winkler</w:t>
      </w:r>
      <w:r>
        <w:rPr>
          <w:rFonts w:cs="Garamond" w:ascii="Garamond" w:hAnsi="Garamond"/>
          <w:sz w:val="24"/>
          <w:szCs w:val="24"/>
        </w:rPr>
        <w:t>, 1936; 1938–1939]. Результатом этой непродолжительной, но плодотворной деятельности стали открытие и фиксация (фотографированием и отрисовкой, в т. ч. цветной) около пятидесяти петроглифических местонахождений доисторического периода, в «инфографике» которых особое внимание Х. Винклер уделил довольно многочисленным лодкам, классифицировав их на «серповидные», аборигенного происхождения и производства, и экзотические «прямоугольные», месопотамского облика, якобы принадлежавшие неким заморским завоевателям дофараоновского Египта (</w:t>
      </w:r>
      <w:r>
        <w:rPr>
          <w:rFonts w:cs="Garamond" w:ascii="Garamond" w:hAnsi="Garamond"/>
          <w:i/>
          <w:sz w:val="24"/>
          <w:szCs w:val="24"/>
        </w:rPr>
        <w:t>илл. 1</w:t>
      </w:r>
      <w:r>
        <w:rPr>
          <w:rFonts w:cs="Garamond" w:ascii="Garamond" w:hAnsi="Garamond"/>
          <w:sz w:val="24"/>
          <w:szCs w:val="24"/>
        </w:rPr>
        <w:t>). Однако если предложенное им с учетом внешних (конструктивных) признаков разделение всех запечатленных в петроглифах лодок на два основных кластера с инженерно-технической точки зрения представляется убедительно-достаточным и окончательным</w:t>
      </w:r>
      <w:r>
        <w:rPr>
          <w:rStyle w:val="Style10"/>
          <w:rStyle w:val="Style17"/>
          <w:rFonts w:cs="Garamond" w:ascii="Garamond" w:hAnsi="Garamond"/>
          <w:sz w:val="24"/>
          <w:szCs w:val="24"/>
        </w:rPr>
        <w:footnoteReference w:id="3"/>
      </w:r>
      <w:r>
        <w:rPr>
          <w:rFonts w:cs="Garamond" w:ascii="Garamond" w:hAnsi="Garamond"/>
          <w:sz w:val="24"/>
          <w:szCs w:val="24"/>
        </w:rPr>
        <w:t>, то неопровержимо доказать версию иноземного вторжения на Нил с моря через египетские восточные вади, опираясь лишь на дописьменный изобразительный и другой археологический материал, он, подобно всем ее приверженцам включая автора, прославленного У. М. Флиндерса Питри</w:t>
      </w:r>
      <w:r>
        <w:rPr>
          <w:rStyle w:val="Style10"/>
          <w:rStyle w:val="Style17"/>
          <w:rFonts w:cs="Garamond" w:ascii="Garamond" w:hAnsi="Garamond"/>
          <w:sz w:val="24"/>
          <w:szCs w:val="24"/>
        </w:rPr>
        <w:footnoteReference w:id="4"/>
      </w:r>
      <w:r>
        <w:rPr>
          <w:rFonts w:cs="Garamond" w:ascii="Garamond" w:hAnsi="Garamond"/>
          <w:sz w:val="24"/>
          <w:szCs w:val="24"/>
        </w:rPr>
        <w:t>, не смог, как не может этого никто и по сей день [Прусаков, 2011].</w:t>
      </w:r>
    </w:p>
    <w:p>
      <w:pPr>
        <w:pStyle w:val="Normal"/>
        <w:autoSpaceDE w:val="false"/>
        <w:ind w:end="-31" w:firstLine="720"/>
        <w:jc w:val="both"/>
        <w:rPr/>
      </w:pPr>
      <w:r>
        <w:rPr>
          <w:rFonts w:cs="Garamond" w:ascii="Garamond" w:hAnsi="Garamond"/>
          <w:sz w:val="24"/>
          <w:szCs w:val="24"/>
        </w:rPr>
        <w:t>Вторая мировая война и гибель в ней Х. Винклера (см.: [</w:t>
      </w:r>
      <w:r>
        <w:rPr>
          <w:rFonts w:cs="Garamond" w:ascii="Garamond" w:hAnsi="Garamond"/>
          <w:sz w:val="24"/>
          <w:szCs w:val="24"/>
          <w:lang w:val="en-US"/>
        </w:rPr>
        <w:t>Junginger</w:t>
      </w:r>
      <w:r>
        <w:rPr>
          <w:rFonts w:cs="Garamond" w:ascii="Garamond" w:hAnsi="Garamond"/>
          <w:sz w:val="24"/>
          <w:szCs w:val="24"/>
        </w:rPr>
        <w:t>, 1995]) приостановили «охоту» за ранними петроглифами в верхнеегипетских пустынях; в последующие десятилетия считанные специалисты, притом в относительно небольших масштабах, продолжали его дело [</w:t>
      </w:r>
      <w:r>
        <w:rPr>
          <w:rFonts w:cs="Garamond" w:ascii="Garamond" w:hAnsi="Garamond"/>
          <w:sz w:val="24"/>
          <w:szCs w:val="24"/>
          <w:lang w:val="en-US"/>
        </w:rPr>
        <w:t>Fuchs</w:t>
      </w:r>
      <w:r>
        <w:rPr>
          <w:rFonts w:cs="Garamond" w:ascii="Garamond" w:hAnsi="Garamond"/>
          <w:sz w:val="24"/>
          <w:szCs w:val="24"/>
        </w:rPr>
        <w:t xml:space="preserve">, 1989; </w:t>
      </w:r>
      <w:r>
        <w:rPr>
          <w:rFonts w:cs="Garamond" w:ascii="Garamond" w:hAnsi="Garamond"/>
          <w:sz w:val="24"/>
          <w:szCs w:val="24"/>
          <w:lang w:val="en-US"/>
        </w:rPr>
        <w:t>Redford</w:t>
      </w:r>
      <w:r>
        <w:rPr>
          <w:rFonts w:cs="Garamond" w:ascii="Garamond" w:hAnsi="Garamond"/>
          <w:sz w:val="24"/>
          <w:szCs w:val="24"/>
        </w:rPr>
        <w:t xml:space="preserve">, </w:t>
      </w:r>
      <w:r>
        <w:rPr>
          <w:rFonts w:cs="Garamond" w:ascii="Garamond" w:hAnsi="Garamond"/>
          <w:sz w:val="24"/>
          <w:szCs w:val="24"/>
          <w:lang w:val="en-US"/>
        </w:rPr>
        <w:t>Redford</w:t>
      </w:r>
      <w:r>
        <w:rPr>
          <w:rFonts w:cs="Garamond" w:ascii="Garamond" w:hAnsi="Garamond"/>
          <w:sz w:val="24"/>
          <w:szCs w:val="24"/>
        </w:rPr>
        <w:t xml:space="preserve">, 1989; </w:t>
      </w:r>
      <w:r>
        <w:rPr>
          <w:rFonts w:cs="Garamond" w:ascii="Garamond" w:hAnsi="Garamond"/>
          <w:sz w:val="24"/>
          <w:szCs w:val="24"/>
          <w:lang w:val="en-US"/>
        </w:rPr>
        <w:t>Resch</w:t>
      </w:r>
      <w:r>
        <w:rPr>
          <w:rFonts w:cs="Garamond" w:ascii="Garamond" w:hAnsi="Garamond"/>
          <w:sz w:val="24"/>
          <w:szCs w:val="24"/>
        </w:rPr>
        <w:t>, 1963]. Львиная доля новейших петроглифических находок в русловых системах Вади Хаммамат и Вади Баррамийа, на ближайших путях из нильской Долины к красноморскому побережью (см.: [</w:t>
      </w:r>
      <w:r>
        <w:rPr>
          <w:rFonts w:cs="Garamond" w:ascii="Garamond" w:hAnsi="Garamond"/>
          <w:sz w:val="24"/>
          <w:szCs w:val="24"/>
          <w:lang w:val="en-US"/>
        </w:rPr>
        <w:t>Moneim</w:t>
      </w:r>
      <w:r>
        <w:rPr>
          <w:rFonts w:cs="Garamond" w:ascii="Garamond" w:hAnsi="Garamond"/>
          <w:sz w:val="24"/>
          <w:szCs w:val="24"/>
        </w:rPr>
        <w:t>, 2005]), как ни странно, принадлежит поисковикам-любителям, которых известный ученый, профессор сравнительной археологии Университетского колледжа Лондона Дэвид Уэнгроу</w:t>
      </w:r>
      <w:r>
        <w:rPr>
          <w:rStyle w:val="Style10"/>
          <w:rStyle w:val="Style17"/>
          <w:rFonts w:cs="Garamond" w:ascii="Garamond" w:hAnsi="Garamond"/>
          <w:sz w:val="24"/>
          <w:szCs w:val="24"/>
        </w:rPr>
        <w:footnoteReference w:id="5"/>
      </w:r>
      <w:r>
        <w:rPr>
          <w:rFonts w:cs="Garamond" w:ascii="Garamond" w:hAnsi="Garamond"/>
          <w:sz w:val="24"/>
          <w:szCs w:val="24"/>
        </w:rPr>
        <w:t xml:space="preserve"> в одной из академических рецензий назвал «неквалифицированными туристами» [</w:t>
      </w:r>
      <w:r>
        <w:rPr>
          <w:rFonts w:cs="Garamond" w:ascii="Garamond" w:hAnsi="Garamond"/>
          <w:sz w:val="24"/>
          <w:szCs w:val="24"/>
          <w:lang w:val="en-US"/>
        </w:rPr>
        <w:t>Wengrow</w:t>
      </w:r>
      <w:r>
        <w:rPr>
          <w:rFonts w:cs="Garamond" w:ascii="Garamond" w:hAnsi="Garamond"/>
          <w:sz w:val="24"/>
          <w:szCs w:val="24"/>
        </w:rPr>
        <w:t xml:space="preserve">, 2003]. Их «исследованием Восточной пустыни», предпринятым из интереса прежде всего к наскальным изображениям огромных ладей в ее ныне гипераридных глубинах (проект </w:t>
      </w:r>
      <w:r>
        <w:rPr>
          <w:rFonts w:cs="Garamond" w:ascii="Garamond" w:hAnsi="Garamond"/>
          <w:sz w:val="24"/>
          <w:szCs w:val="24"/>
          <w:lang w:val="en-US"/>
        </w:rPr>
        <w:t>Eastern</w:t>
      </w:r>
      <w:r>
        <w:rPr>
          <w:rFonts w:cs="Garamond" w:ascii="Garamond" w:hAnsi="Garamond"/>
          <w:sz w:val="24"/>
          <w:szCs w:val="24"/>
        </w:rPr>
        <w:t xml:space="preserve"> </w:t>
      </w:r>
      <w:r>
        <w:rPr>
          <w:rFonts w:cs="Garamond" w:ascii="Garamond" w:hAnsi="Garamond"/>
          <w:sz w:val="24"/>
          <w:szCs w:val="24"/>
          <w:lang w:val="en-US"/>
        </w:rPr>
        <w:t>Desert</w:t>
      </w:r>
      <w:r>
        <w:rPr>
          <w:rFonts w:cs="Garamond" w:ascii="Garamond" w:hAnsi="Garamond"/>
          <w:sz w:val="24"/>
          <w:szCs w:val="24"/>
        </w:rPr>
        <w:t xml:space="preserve"> </w:t>
      </w:r>
      <w:r>
        <w:rPr>
          <w:rFonts w:cs="Garamond" w:ascii="Garamond" w:hAnsi="Garamond"/>
          <w:sz w:val="24"/>
          <w:szCs w:val="24"/>
          <w:lang w:val="en-US"/>
        </w:rPr>
        <w:t>Survey</w:t>
      </w:r>
      <w:r>
        <w:rPr>
          <w:rFonts w:cs="Garamond" w:ascii="Garamond" w:hAnsi="Garamond"/>
          <w:sz w:val="24"/>
          <w:szCs w:val="24"/>
        </w:rPr>
        <w:t xml:space="preserve"> [</w:t>
      </w:r>
      <w:r>
        <w:rPr>
          <w:rFonts w:eastAsia="Arial Unicode MS" w:cs="Garamond" w:ascii="Garamond" w:hAnsi="Garamond"/>
          <w:sz w:val="24"/>
          <w:szCs w:val="24"/>
          <w:lang w:val="en-US"/>
        </w:rPr>
        <w:t>Rohl</w:t>
      </w:r>
      <w:r>
        <w:rPr>
          <w:rFonts w:eastAsia="Arial Unicode MS" w:cs="Garamond" w:ascii="Garamond" w:hAnsi="Garamond"/>
          <w:sz w:val="24"/>
          <w:szCs w:val="24"/>
        </w:rPr>
        <w:t>, 2000</w:t>
      </w:r>
      <w:r>
        <w:rPr>
          <w:rFonts w:cs="Garamond" w:ascii="Garamond" w:hAnsi="Garamond"/>
          <w:sz w:val="24"/>
          <w:szCs w:val="24"/>
        </w:rPr>
        <w:t>]), руководил Дэвид Рол, бакалавр древней истории того же колледжа и рьяный сторонник теории завоевания и цивилизования дофараоновского Египта пришлой «династической расой», изложивший свои восходящие к идеям Питри взгляды в «сенсационной», но оставляющей впечатление общей научно-методологической незрелости книге «Легенда» [</w:t>
      </w:r>
      <w:r>
        <w:rPr>
          <w:rFonts w:cs="Garamond" w:ascii="Garamond" w:hAnsi="Garamond"/>
          <w:sz w:val="24"/>
          <w:szCs w:val="24"/>
          <w:lang w:val="en-US"/>
        </w:rPr>
        <w:t>Rohl</w:t>
      </w:r>
      <w:r>
        <w:rPr>
          <w:rFonts w:cs="Garamond" w:ascii="Garamond" w:hAnsi="Garamond"/>
          <w:sz w:val="24"/>
          <w:szCs w:val="24"/>
        </w:rPr>
        <w:t xml:space="preserve">, 1998], еще менее удачной в малопрофессиональном переводе на русский язык [Рол, 2003]. В одной экспедиции </w:t>
      </w:r>
      <w:r>
        <w:rPr>
          <w:rFonts w:cs="Garamond" w:ascii="Garamond" w:hAnsi="Garamond"/>
          <w:sz w:val="24"/>
          <w:szCs w:val="24"/>
          <w:lang w:val="en-US"/>
        </w:rPr>
        <w:t>EDS</w:t>
      </w:r>
      <w:r>
        <w:rPr>
          <w:rFonts w:cs="Garamond" w:ascii="Garamond" w:hAnsi="Garamond"/>
          <w:sz w:val="24"/>
          <w:szCs w:val="24"/>
        </w:rPr>
        <w:t xml:space="preserve">, впрочем, принял участие дипломированный египтолог, доктор философии Кембриджского университета Тоби Уилкинсон, ставший, в свою очередь, неформальным лидером смежного любительского, официально не связанного с образовательными или исследовательскими учреждениями проекта «топографического изучения наскального искусства пустыни» </w:t>
      </w:r>
      <w:r>
        <w:rPr>
          <w:rFonts w:cs="Garamond" w:ascii="Garamond" w:hAnsi="Garamond"/>
          <w:sz w:val="24"/>
          <w:szCs w:val="24"/>
          <w:lang w:val="en-US"/>
        </w:rPr>
        <w:t>Desert</w:t>
      </w:r>
      <w:r>
        <w:rPr>
          <w:rFonts w:cs="Garamond" w:ascii="Garamond" w:hAnsi="Garamond"/>
          <w:sz w:val="24"/>
          <w:szCs w:val="24"/>
        </w:rPr>
        <w:t xml:space="preserve"> </w:t>
      </w:r>
      <w:r>
        <w:rPr>
          <w:rFonts w:cs="Garamond" w:ascii="Garamond" w:hAnsi="Garamond"/>
          <w:sz w:val="24"/>
          <w:szCs w:val="24"/>
          <w:lang w:val="en-US"/>
        </w:rPr>
        <w:t>RATS</w:t>
      </w:r>
      <w:r>
        <w:rPr>
          <w:rFonts w:cs="Garamond" w:ascii="Garamond" w:hAnsi="Garamond"/>
          <w:sz w:val="24"/>
          <w:szCs w:val="24"/>
        </w:rPr>
        <w:t xml:space="preserve"> [</w:t>
      </w:r>
      <w:r>
        <w:rPr>
          <w:rFonts w:cs="Garamond" w:ascii="Garamond" w:hAnsi="Garamond"/>
          <w:sz w:val="24"/>
          <w:szCs w:val="24"/>
          <w:lang w:val="en-US"/>
        </w:rPr>
        <w:t>Morrow</w:t>
      </w:r>
      <w:r>
        <w:rPr>
          <w:rFonts w:cs="Garamond" w:ascii="Garamond" w:hAnsi="Garamond"/>
          <w:sz w:val="24"/>
          <w:szCs w:val="24"/>
        </w:rPr>
        <w:t xml:space="preserve">, </w:t>
      </w:r>
      <w:r>
        <w:rPr>
          <w:rFonts w:cs="Garamond" w:ascii="Garamond" w:hAnsi="Garamond"/>
          <w:sz w:val="24"/>
          <w:szCs w:val="24"/>
          <w:lang w:val="en-US"/>
        </w:rPr>
        <w:t>Morrow</w:t>
      </w:r>
      <w:r>
        <w:rPr>
          <w:rFonts w:cs="Garamond" w:ascii="Garamond" w:hAnsi="Garamond"/>
          <w:sz w:val="24"/>
          <w:szCs w:val="24"/>
        </w:rPr>
        <w:t>, 2002] — аббревиатура, вызывающая ассоциацию со сформированной в 1938</w:t>
      </w:r>
      <w:r>
        <w:rPr>
          <w:rFonts w:cs="Garamond" w:ascii="Garamond" w:hAnsi="Garamond"/>
          <w:sz w:val="24"/>
          <w:szCs w:val="24"/>
          <w:lang w:val="en-US"/>
        </w:rPr>
        <w:t> </w:t>
      </w:r>
      <w:r>
        <w:rPr>
          <w:rFonts w:cs="Garamond" w:ascii="Garamond" w:hAnsi="Garamond"/>
          <w:sz w:val="24"/>
          <w:szCs w:val="24"/>
        </w:rPr>
        <w:t>г. в Египте 7-й бронедивизией Королевских вооруженных сил, прозванной «пустынные крысы» («тушканчики»), подразделения которой в 1944</w:t>
      </w:r>
      <w:r>
        <w:rPr>
          <w:rFonts w:cs="Garamond" w:ascii="Garamond" w:hAnsi="Garamond"/>
          <w:sz w:val="24"/>
          <w:szCs w:val="24"/>
          <w:lang w:val="en-US"/>
        </w:rPr>
        <w:t> </w:t>
      </w:r>
      <w:r>
        <w:rPr>
          <w:rFonts w:cs="Garamond" w:ascii="Garamond" w:hAnsi="Garamond"/>
          <w:sz w:val="24"/>
          <w:szCs w:val="24"/>
        </w:rPr>
        <w:t>г. попали в одну из самых разгромных засад в британской военной истории, устроенную им у нормандского городка Виллер-Бокаж эсэсовским танковым асом М.</w:t>
      </w:r>
      <w:r>
        <w:rPr>
          <w:rFonts w:cs="Garamond" w:ascii="Garamond" w:hAnsi="Garamond"/>
          <w:sz w:val="24"/>
          <w:szCs w:val="24"/>
          <w:lang w:val="en-US"/>
        </w:rPr>
        <w:t> </w:t>
      </w:r>
      <w:r>
        <w:rPr>
          <w:rFonts w:cs="Garamond" w:ascii="Garamond" w:hAnsi="Garamond"/>
          <w:sz w:val="24"/>
          <w:szCs w:val="24"/>
        </w:rPr>
        <w:t>Виттманом [</w:t>
      </w:r>
      <w:r>
        <w:rPr>
          <w:rFonts w:cs="Garamond" w:ascii="Garamond" w:hAnsi="Garamond"/>
          <w:sz w:val="24"/>
          <w:szCs w:val="24"/>
          <w:lang w:val="en-US"/>
        </w:rPr>
        <w:t>Beevor</w:t>
      </w:r>
      <w:r>
        <w:rPr>
          <w:rFonts w:cs="Garamond" w:ascii="Garamond" w:hAnsi="Garamond"/>
          <w:sz w:val="24"/>
          <w:szCs w:val="24"/>
        </w:rPr>
        <w:t>, 2009]. После недельного автопробега по Восточной пустыне и «оживленных дебатов у походного костра» Т. Уилкинсон, окрыленный быстрым открытием более тридцати почему-либо пропущенных предшественниками местонахождений петроглифов, заключил, что историю происхождения древнеегипетской цивилизации «придется переписать» [</w:t>
      </w:r>
      <w:r>
        <w:rPr>
          <w:rFonts w:cs="Garamond" w:ascii="Garamond" w:hAnsi="Garamond"/>
          <w:sz w:val="24"/>
          <w:szCs w:val="24"/>
          <w:lang w:val="en-US"/>
        </w:rPr>
        <w:t>Wilkinson</w:t>
      </w:r>
      <w:r>
        <w:rPr>
          <w:rFonts w:cs="Garamond" w:ascii="Garamond" w:hAnsi="Garamond"/>
          <w:sz w:val="24"/>
          <w:szCs w:val="24"/>
        </w:rPr>
        <w:t>, 2003]. Так на свет появилась полупопулярная книга «Генезис фараонов», признанная рядом ведущих западных экспертов его худшей работой: например, бельгийский археолог, специалист по додинастическому Египту Стэн Хендрикс с явным сожалением констатировал, что «профессионал», автор добротных египтологических монографий</w:t>
      </w:r>
      <w:r>
        <w:rPr>
          <w:rStyle w:val="Style10"/>
          <w:rStyle w:val="Style17"/>
          <w:rFonts w:cs="Garamond" w:ascii="Garamond" w:hAnsi="Garamond"/>
          <w:sz w:val="24"/>
          <w:szCs w:val="24"/>
        </w:rPr>
        <w:footnoteReference w:id="6"/>
      </w:r>
      <w:r>
        <w:rPr>
          <w:rFonts w:cs="Garamond" w:ascii="Garamond" w:hAnsi="Garamond"/>
          <w:sz w:val="24"/>
          <w:szCs w:val="24"/>
        </w:rPr>
        <w:t xml:space="preserve"> Т. Уилкинсон во главе «любителей» в итоге отличился «наиболее дилетантской» интерпретацией доисторического наскального искусства верхнеегипетских восточных вади [</w:t>
      </w:r>
      <w:r>
        <w:rPr>
          <w:rFonts w:cs="Garamond" w:ascii="Garamond" w:hAnsi="Garamond"/>
          <w:sz w:val="24"/>
          <w:szCs w:val="24"/>
          <w:lang w:val="en-US"/>
        </w:rPr>
        <w:t>Hendrickx</w:t>
      </w:r>
      <w:r>
        <w:rPr>
          <w:rFonts w:cs="Garamond" w:ascii="Garamond" w:hAnsi="Garamond"/>
          <w:sz w:val="24"/>
          <w:szCs w:val="24"/>
        </w:rPr>
        <w:t>, 2004].</w:t>
      </w:r>
    </w:p>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hanging="0"/>
        <w:jc w:val="center"/>
        <w:rPr>
          <w:rFonts w:ascii="Garamond" w:hAnsi="Garamond" w:cs="Garamond"/>
          <w:sz w:val="22"/>
          <w:szCs w:val="22"/>
        </w:rPr>
      </w:pPr>
      <w:r>
        <w:rPr>
          <w:rFonts w:cs="Garamond" w:ascii="Garamond" w:hAnsi="Garamond"/>
          <w:sz w:val="22"/>
          <w:szCs w:val="22"/>
        </w:rPr>
        <w:drawing>
          <wp:inline distT="0" distB="0" distL="0" distR="0">
            <wp:extent cx="5604510" cy="3879215"/>
            <wp:effectExtent l="0" t="0" r="0" b="0"/>
            <wp:docPr id="4"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title=""/>
                    <pic:cNvPicPr>
                      <a:picLocks noChangeAspect="1" noChangeArrowheads="1"/>
                    </pic:cNvPicPr>
                  </pic:nvPicPr>
                  <pic:blipFill>
                    <a:blip r:embed="rId5"/>
                    <a:srcRect l="-1" t="-2" r="-1" b="-2"/>
                    <a:stretch>
                      <a:fillRect/>
                    </a:stretch>
                  </pic:blipFill>
                  <pic:spPr bwMode="auto">
                    <a:xfrm>
                      <a:off x="0" y="0"/>
                      <a:ext cx="5604510" cy="3879215"/>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2.</w:t>
      </w:r>
      <w:r>
        <w:rPr>
          <w:rFonts w:cs="Garamond" w:ascii="Garamond" w:hAnsi="Garamond"/>
          <w:sz w:val="22"/>
          <w:szCs w:val="22"/>
        </w:rPr>
        <w:t xml:space="preserve"> Местонахождения петроглифов в вади Восточной пустыни (по: [</w:t>
      </w:r>
      <w:r>
        <w:rPr>
          <w:rFonts w:cs="Garamond" w:ascii="Garamond" w:hAnsi="Garamond"/>
          <w:sz w:val="22"/>
          <w:szCs w:val="22"/>
          <w:lang w:val="en-US"/>
        </w:rPr>
        <w:t>Judd</w:t>
      </w:r>
      <w:r>
        <w:rPr>
          <w:rFonts w:cs="Garamond" w:ascii="Garamond" w:hAnsi="Garamond"/>
          <w:sz w:val="22"/>
          <w:szCs w:val="22"/>
        </w:rPr>
        <w:t xml:space="preserve">, 2010, </w:t>
      </w:r>
      <w:r>
        <w:rPr>
          <w:rFonts w:cs="Garamond" w:ascii="Garamond" w:hAnsi="Garamond"/>
          <w:sz w:val="22"/>
          <w:szCs w:val="22"/>
          <w:lang w:val="en-US"/>
        </w:rPr>
        <w:t>fig</w:t>
      </w:r>
      <w:r>
        <w:rPr>
          <w:rFonts w:cs="Garamond" w:ascii="Garamond" w:hAnsi="Garamond"/>
          <w:sz w:val="22"/>
          <w:szCs w:val="22"/>
        </w:rPr>
        <w:t>. 1])</w:t>
      </w:r>
    </w:p>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firstLine="720"/>
        <w:jc w:val="both"/>
        <w:rPr/>
      </w:pPr>
      <w:r>
        <w:rPr>
          <w:rFonts w:cs="Garamond" w:ascii="Garamond" w:hAnsi="Garamond"/>
          <w:sz w:val="24"/>
          <w:szCs w:val="24"/>
        </w:rPr>
        <w:t xml:space="preserve">Публикации новооткрывателей петроглифов из команд </w:t>
      </w:r>
      <w:r>
        <w:rPr>
          <w:rFonts w:cs="Garamond" w:ascii="Garamond" w:hAnsi="Garamond"/>
          <w:sz w:val="24"/>
          <w:szCs w:val="24"/>
          <w:lang w:val="en-US"/>
        </w:rPr>
        <w:t>EDS</w:t>
      </w:r>
      <w:r>
        <w:rPr>
          <w:rFonts w:cs="Garamond" w:ascii="Garamond" w:hAnsi="Garamond"/>
          <w:sz w:val="24"/>
          <w:szCs w:val="24"/>
        </w:rPr>
        <w:t xml:space="preserve"> и </w:t>
      </w:r>
      <w:r>
        <w:rPr>
          <w:rFonts w:cs="Garamond" w:ascii="Garamond" w:hAnsi="Garamond"/>
          <w:sz w:val="24"/>
          <w:szCs w:val="24"/>
          <w:lang w:val="en-US"/>
        </w:rPr>
        <w:t>RATS</w:t>
      </w:r>
      <w:r>
        <w:rPr>
          <w:rFonts w:cs="Garamond" w:ascii="Garamond" w:hAnsi="Garamond"/>
          <w:sz w:val="24"/>
          <w:szCs w:val="24"/>
        </w:rPr>
        <w:t>, в основном укомплектованных одним и тем же персоналом, порицались археологами также за неполноту описаний найденных памятников и технических методов исследования, частое неуказание размеров художественных объектов и масштабов при их фотосъемке и т. п. [</w:t>
      </w:r>
      <w:r>
        <w:rPr>
          <w:rFonts w:cs="Garamond" w:ascii="Garamond" w:hAnsi="Garamond"/>
          <w:sz w:val="24"/>
          <w:szCs w:val="24"/>
          <w:lang w:val="en-US"/>
        </w:rPr>
        <w:t>Huyge</w:t>
      </w:r>
      <w:r>
        <w:rPr>
          <w:rFonts w:cs="Garamond" w:ascii="Garamond" w:hAnsi="Garamond"/>
          <w:sz w:val="24"/>
          <w:szCs w:val="24"/>
        </w:rPr>
        <w:t>, 2002</w:t>
      </w:r>
      <w:r>
        <w:rPr>
          <w:rFonts w:cs="Garamond" w:ascii="Garamond" w:hAnsi="Garamond"/>
          <w:sz w:val="24"/>
          <w:szCs w:val="24"/>
          <w:lang w:val="en-US"/>
        </w:rPr>
        <w:t>b</w:t>
      </w:r>
      <w:r>
        <w:rPr>
          <w:rFonts w:cs="Garamond" w:ascii="Garamond" w:hAnsi="Garamond"/>
          <w:sz w:val="24"/>
          <w:szCs w:val="24"/>
        </w:rPr>
        <w:t>], что неудивительно, учитывая, помимо всего остального, предельную краткосрочность (5–6 дней) и рекордные темпы этих перемещавшихся на внедорожниках «экспедиций» (“</w:t>
      </w:r>
      <w:r>
        <w:rPr>
          <w:rFonts w:cs="Garamond" w:ascii="Garamond" w:hAnsi="Garamond"/>
          <w:sz w:val="24"/>
          <w:szCs w:val="24"/>
          <w:lang w:val="en-US"/>
        </w:rPr>
        <w:t>a</w:t>
      </w:r>
      <w:r>
        <w:rPr>
          <w:rFonts w:cs="Garamond" w:ascii="Garamond" w:hAnsi="Garamond"/>
          <w:sz w:val="24"/>
          <w:szCs w:val="24"/>
        </w:rPr>
        <w:t xml:space="preserve"> </w:t>
      </w:r>
      <w:r>
        <w:rPr>
          <w:rFonts w:cs="Garamond" w:ascii="Garamond" w:hAnsi="Garamond"/>
          <w:sz w:val="24"/>
          <w:szCs w:val="24"/>
          <w:lang w:val="en-US"/>
        </w:rPr>
        <w:t>new</w:t>
      </w:r>
      <w:r>
        <w:rPr>
          <w:rFonts w:cs="Garamond" w:ascii="Garamond" w:hAnsi="Garamond"/>
          <w:sz w:val="24"/>
          <w:szCs w:val="24"/>
        </w:rPr>
        <w:t xml:space="preserve"> </w:t>
      </w:r>
      <w:r>
        <w:rPr>
          <w:rFonts w:cs="Garamond" w:ascii="Garamond" w:hAnsi="Garamond"/>
          <w:sz w:val="24"/>
          <w:szCs w:val="24"/>
          <w:lang w:val="en-US"/>
        </w:rPr>
        <w:t>day</w:t>
      </w:r>
      <w:r>
        <w:rPr>
          <w:rFonts w:cs="Garamond" w:ascii="Garamond" w:hAnsi="Garamond"/>
          <w:sz w:val="24"/>
          <w:szCs w:val="24"/>
        </w:rPr>
        <w:t xml:space="preserve">, </w:t>
      </w:r>
      <w:r>
        <w:rPr>
          <w:rFonts w:cs="Garamond" w:ascii="Garamond" w:hAnsi="Garamond"/>
          <w:sz w:val="24"/>
          <w:szCs w:val="24"/>
          <w:lang w:val="en-US"/>
        </w:rPr>
        <w:t>a</w:t>
      </w:r>
      <w:r>
        <w:rPr>
          <w:rFonts w:cs="Garamond" w:ascii="Garamond" w:hAnsi="Garamond"/>
          <w:sz w:val="24"/>
          <w:szCs w:val="24"/>
        </w:rPr>
        <w:t xml:space="preserve"> </w:t>
      </w:r>
      <w:r>
        <w:rPr>
          <w:rFonts w:cs="Garamond" w:ascii="Garamond" w:hAnsi="Garamond"/>
          <w:sz w:val="24"/>
          <w:szCs w:val="24"/>
          <w:lang w:val="en-US"/>
        </w:rPr>
        <w:t>new</w:t>
      </w:r>
      <w:r>
        <w:rPr>
          <w:rFonts w:cs="Garamond" w:ascii="Garamond" w:hAnsi="Garamond"/>
          <w:sz w:val="24"/>
          <w:szCs w:val="24"/>
        </w:rPr>
        <w:t xml:space="preserve"> </w:t>
      </w:r>
      <w:r>
        <w:rPr>
          <w:rFonts w:cs="Garamond" w:ascii="Garamond" w:hAnsi="Garamond"/>
          <w:sz w:val="24"/>
          <w:szCs w:val="24"/>
          <w:lang w:val="en-US"/>
        </w:rPr>
        <w:t>wadi</w:t>
      </w:r>
      <w:r>
        <w:rPr>
          <w:rFonts w:cs="Garamond" w:ascii="Garamond" w:hAnsi="Garamond"/>
          <w:sz w:val="24"/>
          <w:szCs w:val="24"/>
        </w:rPr>
        <w:t>” [</w:t>
      </w:r>
      <w:r>
        <w:rPr>
          <w:rFonts w:cs="Garamond" w:ascii="Garamond" w:hAnsi="Garamond"/>
          <w:sz w:val="24"/>
          <w:szCs w:val="24"/>
          <w:lang w:val="en-US"/>
        </w:rPr>
        <w:t>Wilkinson</w:t>
      </w:r>
      <w:r>
        <w:rPr>
          <w:rFonts w:cs="Garamond" w:ascii="Garamond" w:hAnsi="Garamond"/>
          <w:sz w:val="24"/>
          <w:szCs w:val="24"/>
        </w:rPr>
        <w:t>, 2003]). Единственное, что ученые критики солидарно ставили любителям в заслугу — это заметный численный вклад в корпус известных науке петроглифических местонахождений в Восточной пустыне Египта, под которыми понимались отдельные изображения или их группы, расположенные не менее чем в 50 метрах</w:t>
      </w:r>
      <w:r>
        <w:rPr>
          <w:rFonts w:cs="Garamond" w:ascii="Garamond" w:hAnsi="Garamond"/>
          <w:i/>
          <w:sz w:val="24"/>
          <w:szCs w:val="24"/>
        </w:rPr>
        <w:t xml:space="preserve"> </w:t>
      </w:r>
      <w:r>
        <w:rPr>
          <w:rFonts w:cs="Garamond" w:ascii="Garamond" w:hAnsi="Garamond"/>
          <w:sz w:val="24"/>
          <w:szCs w:val="24"/>
        </w:rPr>
        <w:t>друг от друга: на пике активности обоих проектов с 1997 по 2001 гг. в ключевом районе поисков, где в свое время трудился Х. Винклер, было обнаружено около 160 ранее не каталогизированных скальных участков с древнейшими петроглифами и снято свыше 5000 слайдов [</w:t>
      </w:r>
      <w:r>
        <w:rPr>
          <w:rFonts w:cs="Garamond" w:ascii="Garamond" w:hAnsi="Garamond"/>
          <w:sz w:val="24"/>
          <w:szCs w:val="24"/>
          <w:lang w:val="en-US"/>
        </w:rPr>
        <w:t>Lankester</w:t>
      </w:r>
      <w:r>
        <w:rPr>
          <w:rFonts w:cs="Garamond" w:ascii="Garamond" w:hAnsi="Garamond"/>
          <w:sz w:val="24"/>
          <w:szCs w:val="24"/>
        </w:rPr>
        <w:t xml:space="preserve">, 2013]. Последующие пробные изыскания к югу от этого «урожайного» пространства коллектива </w:t>
      </w:r>
      <w:r>
        <w:rPr>
          <w:rFonts w:cs="Garamond" w:ascii="Garamond" w:hAnsi="Garamond"/>
          <w:sz w:val="24"/>
          <w:szCs w:val="24"/>
          <w:lang w:val="en-US"/>
        </w:rPr>
        <w:t>EDS</w:t>
      </w:r>
      <w:r>
        <w:rPr>
          <w:rFonts w:cs="Garamond" w:ascii="Garamond" w:hAnsi="Garamond"/>
          <w:sz w:val="24"/>
          <w:szCs w:val="24"/>
        </w:rPr>
        <w:t xml:space="preserve"> при содействии Университета Миннесоты дали еще более пятидесяти петроглифических «сайтов», однако бросалось в глаза, что увековеченных на камне лодок (в отличие, например, от рогатого скота) здесь гораздо меньше, чем на излюбленных экспедиционных маршрутах Х.</w:t>
      </w:r>
      <w:r>
        <w:rPr>
          <w:rFonts w:cs="Garamond" w:ascii="Garamond" w:hAnsi="Garamond"/>
          <w:sz w:val="24"/>
          <w:szCs w:val="24"/>
          <w:lang w:val="en-US"/>
        </w:rPr>
        <w:t> </w:t>
      </w:r>
      <w:r>
        <w:rPr>
          <w:rFonts w:cs="Garamond" w:ascii="Garamond" w:hAnsi="Garamond"/>
          <w:sz w:val="24"/>
          <w:szCs w:val="24"/>
        </w:rPr>
        <w:t>Винклера [</w:t>
      </w:r>
      <w:r>
        <w:rPr>
          <w:rFonts w:cs="Garamond" w:ascii="Garamond" w:hAnsi="Garamond"/>
          <w:sz w:val="24"/>
          <w:szCs w:val="24"/>
          <w:lang w:val="en-US"/>
        </w:rPr>
        <w:t>Judd</w:t>
      </w:r>
      <w:r>
        <w:rPr>
          <w:rFonts w:cs="Garamond" w:ascii="Garamond" w:hAnsi="Garamond"/>
          <w:sz w:val="24"/>
          <w:szCs w:val="24"/>
        </w:rPr>
        <w:t>, 2009]. Напомню, что они пролегали в 65–100 км к востоку от Нила, в соприкасающихся водосборах Вади Хаммамат и Вади Баррамийа, вписываясь в прямоугольник площадью до 6250 км</w:t>
      </w:r>
      <w:r>
        <w:rPr>
          <w:rFonts w:cs="Garamond" w:ascii="Garamond" w:hAnsi="Garamond"/>
          <w:sz w:val="24"/>
          <w:szCs w:val="24"/>
          <w:vertAlign w:val="superscript"/>
        </w:rPr>
        <w:t>2</w:t>
      </w:r>
      <w:r>
        <w:rPr>
          <w:rFonts w:cs="Garamond" w:ascii="Garamond" w:hAnsi="Garamond"/>
          <w:sz w:val="24"/>
          <w:szCs w:val="24"/>
        </w:rPr>
        <w:t xml:space="preserve"> между 25 и 26 град. с. ш., 33 град. и 33 град. 45 мин. в.</w:t>
      </w:r>
      <w:r>
        <w:rPr>
          <w:rFonts w:cs="Garamond" w:ascii="Garamond" w:hAnsi="Garamond"/>
          <w:sz w:val="24"/>
          <w:szCs w:val="24"/>
          <w:lang w:val="en-US"/>
        </w:rPr>
        <w:t> </w:t>
      </w:r>
      <w:r>
        <w:rPr>
          <w:rFonts w:cs="Garamond" w:ascii="Garamond" w:hAnsi="Garamond"/>
          <w:sz w:val="24"/>
          <w:szCs w:val="24"/>
        </w:rPr>
        <w:t>д., в котором зафиксирована величайшая для египетских пустынь плотность наскальных рисунков (</w:t>
      </w:r>
      <w:r>
        <w:rPr>
          <w:rFonts w:cs="Garamond" w:ascii="Garamond" w:hAnsi="Garamond"/>
          <w:i/>
          <w:sz w:val="24"/>
          <w:szCs w:val="24"/>
        </w:rPr>
        <w:t>илл. 2</w:t>
      </w:r>
      <w:r>
        <w:rPr>
          <w:rFonts w:cs="Garamond" w:ascii="Garamond" w:hAnsi="Garamond"/>
          <w:sz w:val="24"/>
          <w:szCs w:val="24"/>
        </w:rPr>
        <w:t>) при максимальной концентрации «загадочных первобытных петроглифов, акцентирующих огромные ладьи с высокими, перпендикулярными корпусу краями» [Прусаков, 2015].</w:t>
      </w:r>
    </w:p>
    <w:p>
      <w:pPr>
        <w:pStyle w:val="Normal"/>
        <w:autoSpaceDE w:val="false"/>
        <w:ind w:end="-31" w:firstLine="720"/>
        <w:jc w:val="both"/>
        <w:rPr/>
      </w:pPr>
      <w:r>
        <w:rPr>
          <w:rFonts w:eastAsia="Garamond" w:cs="Garamond" w:ascii="Garamond" w:hAnsi="Garamond"/>
          <w:sz w:val="24"/>
          <w:szCs w:val="24"/>
        </w:rPr>
        <w:t xml:space="preserve"> </w:t>
      </w:r>
      <w:r>
        <w:rPr>
          <w:rFonts w:cs="Garamond" w:ascii="Garamond" w:hAnsi="Garamond"/>
          <w:sz w:val="24"/>
          <w:szCs w:val="24"/>
        </w:rPr>
        <w:t>«Иноземный» вид этих судов, словно скопированных с шумеро-аккадских цилиндрических печатей (</w:t>
      </w:r>
      <w:r>
        <w:rPr>
          <w:rFonts w:cs="Garamond" w:ascii="Garamond" w:hAnsi="Garamond"/>
          <w:i/>
          <w:sz w:val="24"/>
          <w:szCs w:val="24"/>
        </w:rPr>
        <w:t>илл. 3</w:t>
      </w:r>
      <w:r>
        <w:rPr>
          <w:rFonts w:cs="Garamond" w:ascii="Garamond" w:hAnsi="Garamond"/>
          <w:sz w:val="24"/>
          <w:szCs w:val="24"/>
        </w:rPr>
        <w:t>), и преобладание их изображений на кратчайших (160–200 км) дорогах от Красного моря к Нилу служили всякого рода «диффузионистам» дежурными аргументами в пользу вторжения в доисторический Египет неких мореплавателей, проникнувших в страну по сквозным скальным ходам центральной Восточной пустыни, а возможно, и по орошавшим их тогда рекам. Противники этой «реалистической» гипотезы, наоборот, и слышать не хотели о «морских» ладьях, когда-либо пересекавших пустыню сплавом ли, волоком ли, априори считая додинастические петроглифы как единичных лодок, так и разноколичественных флотилий не «автографами» завоевателей, а местным культовым явлением, прямородственным древнеегипетскому искусству, неотделимому от сакрального и потустороннего. Вызвавшие было исследовательское воодушевление находки десятков и сотен «новых» петроглифических знаков, рисунков и целых композиций ничего не изменили в балансе двух антагонистических точек зрения, ни на шаг не продвинув ученых и любителей к какому-то консенсусному решению проблемы первобытных лодок в восточных вади Верхнего Египта. Казалось бы, с уходом ярчайших представителей «школы Питри» (к которым идейно примыкал, например, один из крупнейших английских археологов Уолтер Эмери [</w:t>
      </w:r>
      <w:r>
        <w:rPr>
          <w:rFonts w:cs="Garamond" w:ascii="Garamond" w:hAnsi="Garamond"/>
          <w:sz w:val="24"/>
          <w:szCs w:val="24"/>
          <w:lang w:val="en-US"/>
        </w:rPr>
        <w:t>Emery</w:t>
      </w:r>
      <w:r>
        <w:rPr>
          <w:rFonts w:cs="Garamond" w:ascii="Garamond" w:hAnsi="Garamond"/>
          <w:sz w:val="24"/>
          <w:szCs w:val="24"/>
        </w:rPr>
        <w:t>, 1949–1958]) изрядно дискредитированная в послевоенное полустолетие теория «династической расы» бесповоротно сдала позиции (</w:t>
      </w:r>
      <w:r>
        <w:rPr>
          <w:rFonts w:cs="Garamond" w:ascii="Garamond" w:hAnsi="Garamond"/>
          <w:sz w:val="24"/>
          <w:szCs w:val="24"/>
          <w:lang w:val="en-US"/>
        </w:rPr>
        <w:t>c</w:t>
      </w:r>
      <w:r>
        <w:rPr>
          <w:rFonts w:cs="Garamond" w:ascii="Garamond" w:hAnsi="Garamond"/>
          <w:sz w:val="24"/>
          <w:szCs w:val="24"/>
        </w:rPr>
        <w:t>м.: [</w:t>
      </w:r>
      <w:r>
        <w:rPr>
          <w:rFonts w:cs="Garamond" w:ascii="Garamond" w:hAnsi="Garamond"/>
          <w:sz w:val="24"/>
          <w:szCs w:val="24"/>
          <w:lang w:val="en-US"/>
        </w:rPr>
        <w:t>Midant</w:t>
      </w:r>
      <w:r>
        <w:rPr>
          <w:rFonts w:cs="Garamond" w:ascii="Garamond" w:hAnsi="Garamond"/>
          <w:sz w:val="24"/>
          <w:szCs w:val="24"/>
        </w:rPr>
        <w:t>-</w:t>
      </w:r>
      <w:r>
        <w:rPr>
          <w:rFonts w:cs="Garamond" w:ascii="Garamond" w:hAnsi="Garamond"/>
          <w:sz w:val="24"/>
          <w:szCs w:val="24"/>
          <w:lang w:val="en-US"/>
        </w:rPr>
        <w:t>Reynes</w:t>
      </w:r>
      <w:r>
        <w:rPr>
          <w:rFonts w:cs="Garamond" w:ascii="Garamond" w:hAnsi="Garamond"/>
          <w:sz w:val="24"/>
          <w:szCs w:val="24"/>
        </w:rPr>
        <w:t>, 2000]) — но в конце 1990-х гг. появился Д. Рол с его «широкой и преданной аудиторией», и разговоры о заморских «спутниках Хора» (шумерах?!), пришедших со своими «прямоугольными» кораблями по вади на Нил с целью основать на его берегах «второе процветающее царство», возобновились с прежней остротой [</w:t>
      </w:r>
      <w:r>
        <w:rPr>
          <w:rFonts w:cs="Garamond" w:ascii="Garamond" w:hAnsi="Garamond"/>
          <w:sz w:val="24"/>
          <w:szCs w:val="24"/>
          <w:lang w:val="en-US"/>
        </w:rPr>
        <w:t>Rohl</w:t>
      </w:r>
      <w:r>
        <w:rPr>
          <w:rFonts w:cs="Garamond" w:ascii="Garamond" w:hAnsi="Garamond"/>
          <w:sz w:val="24"/>
          <w:szCs w:val="24"/>
        </w:rPr>
        <w:t xml:space="preserve">, 1998]. При этом сотрудничавший с ним в тесном контакте параллельных проектов </w:t>
      </w:r>
      <w:r>
        <w:rPr>
          <w:rFonts w:cs="Garamond" w:ascii="Garamond" w:hAnsi="Garamond"/>
          <w:sz w:val="24"/>
          <w:szCs w:val="24"/>
          <w:lang w:val="en-US"/>
        </w:rPr>
        <w:t>EDS</w:t>
      </w:r>
      <w:r>
        <w:rPr>
          <w:rFonts w:cs="Garamond" w:ascii="Garamond" w:hAnsi="Garamond"/>
          <w:sz w:val="24"/>
          <w:szCs w:val="24"/>
        </w:rPr>
        <w:t xml:space="preserve"> и </w:t>
      </w:r>
      <w:r>
        <w:rPr>
          <w:rFonts w:cs="Garamond" w:ascii="Garamond" w:hAnsi="Garamond"/>
          <w:sz w:val="24"/>
          <w:szCs w:val="24"/>
          <w:lang w:val="en-US"/>
        </w:rPr>
        <w:t>Desert</w:t>
      </w:r>
      <w:r>
        <w:rPr>
          <w:rFonts w:cs="Garamond" w:ascii="Garamond" w:hAnsi="Garamond"/>
          <w:sz w:val="24"/>
          <w:szCs w:val="24"/>
        </w:rPr>
        <w:t xml:space="preserve"> </w:t>
      </w:r>
      <w:r>
        <w:rPr>
          <w:rFonts w:cs="Garamond" w:ascii="Garamond" w:hAnsi="Garamond"/>
          <w:sz w:val="24"/>
          <w:szCs w:val="24"/>
          <w:lang w:val="en-US"/>
        </w:rPr>
        <w:t>RATS</w:t>
      </w:r>
      <w:r>
        <w:rPr>
          <w:rFonts w:cs="Garamond" w:ascii="Garamond" w:hAnsi="Garamond"/>
          <w:sz w:val="24"/>
          <w:szCs w:val="24"/>
        </w:rPr>
        <w:t xml:space="preserve"> Т. Уилкинсон, проехавший теми же дорогами и наблюдавший те же самые памятники, называл все подобные умопостроения «невероятными», «сказочными» и «во многом популистскими», не подтверждаемыми археологией ни Египта, ни Месопотамии. По его не то чтобы оригинальному мнению</w:t>
      </w:r>
      <w:r>
        <w:rPr>
          <w:rStyle w:val="Style10"/>
          <w:rStyle w:val="Style17"/>
          <w:rFonts w:cs="Garamond" w:ascii="Garamond" w:hAnsi="Garamond"/>
          <w:sz w:val="24"/>
          <w:szCs w:val="24"/>
        </w:rPr>
        <w:footnoteReference w:id="7"/>
      </w:r>
      <w:r>
        <w:rPr>
          <w:rFonts w:cs="Garamond" w:ascii="Garamond" w:hAnsi="Garamond"/>
          <w:sz w:val="24"/>
          <w:szCs w:val="24"/>
        </w:rPr>
        <w:t xml:space="preserve">, первобытная петроглифика Восточной пустыни, развивавшая </w:t>
      </w:r>
      <w:r>
        <w:rPr>
          <w:rFonts w:cs="Garamond" w:ascii="Garamond" w:hAnsi="Garamond"/>
          <w:i/>
          <w:sz w:val="24"/>
          <w:szCs w:val="24"/>
        </w:rPr>
        <w:t>две главные темы</w:t>
      </w:r>
      <w:r>
        <w:rPr>
          <w:rFonts w:cs="Garamond" w:ascii="Garamond" w:hAnsi="Garamond"/>
          <w:sz w:val="24"/>
          <w:szCs w:val="24"/>
        </w:rPr>
        <w:t xml:space="preserve"> — «животного мира и лодок», не копировала действительность, а имела символический смысл, связывая естественный и сверхъестественный миры, тогда как пригодные для рисования ровные поверхности скал в пещерах, гротах и под открытым небом являлись «вратами» между ними; иначе говоря, петроглифы в тех же Вади Хаммамат и Вади Баррамийа высекались в контексте или непосредственно в процессе «магических или религиозных обрядов» какими-нибудь «шаманами» в трансе или «в измененном состоянии сознания», позволявшем им сообщаться с горними сферами, и отражали не столько реалии повседневного быта промышлявших в этом регионе в </w:t>
      </w:r>
      <w:r>
        <w:rPr>
          <w:rFonts w:cs="Garamond" w:ascii="Garamond" w:hAnsi="Garamond"/>
          <w:sz w:val="24"/>
          <w:szCs w:val="24"/>
          <w:lang w:val="en-US"/>
        </w:rPr>
        <w:t>V</w:t>
      </w:r>
      <w:r>
        <w:rPr>
          <w:rFonts w:cs="Garamond" w:ascii="Garamond" w:hAnsi="Garamond"/>
          <w:sz w:val="24"/>
          <w:szCs w:val="24"/>
        </w:rPr>
        <w:t>–</w:t>
      </w:r>
      <w:r>
        <w:rPr>
          <w:rFonts w:cs="Garamond" w:ascii="Garamond" w:hAnsi="Garamond"/>
          <w:sz w:val="24"/>
          <w:szCs w:val="24"/>
          <w:lang w:val="en-US"/>
        </w:rPr>
        <w:t>IV</w:t>
      </w:r>
      <w:r>
        <w:rPr>
          <w:rFonts w:cs="Garamond" w:ascii="Garamond" w:hAnsi="Garamond"/>
          <w:sz w:val="24"/>
          <w:szCs w:val="24"/>
        </w:rPr>
        <w:t> тыс. до н. э. «номадов», сколько их представления о высших силах, способных влиять на ход событий и иногда милостиво помогать людям в их земных делах. Загадочным «лодкам пустыни» Т. Уилкинсон давал преимущественно потустороннюю интерпретацию как священным судам для «загробных странствий», а в местах их массового (возможно, продолжавшегося веками) изображения видел эквивалентные храмам фараонов подобия особо почитавшихся протоегиптянами кенотафов или святилищ, в сени которых возникал контакт человека с духами и богами и зарождались первоосновы древнеегипетских культов и космологических воззрений (в частности, доктрины вечного мирового круговорота солнечной барки Ра — «важнейшей лодки египетской религии») [</w:t>
      </w:r>
      <w:r>
        <w:rPr>
          <w:rFonts w:cs="Garamond" w:ascii="Garamond" w:hAnsi="Garamond"/>
          <w:sz w:val="24"/>
          <w:szCs w:val="24"/>
          <w:lang w:val="en-US"/>
        </w:rPr>
        <w:t>Wilkinson</w:t>
      </w:r>
      <w:r>
        <w:rPr>
          <w:rFonts w:cs="Garamond" w:ascii="Garamond" w:hAnsi="Garamond"/>
          <w:sz w:val="24"/>
          <w:szCs w:val="24"/>
        </w:rPr>
        <w:t>, 2003].</w:t>
      </w:r>
      <w:r>
        <mc:AlternateContent>
          <mc:Choice Requires="wps">
            <w:drawing>
              <wp:anchor behindDoc="0" distT="0" distB="0" distL="114300" distR="0" simplePos="0" locked="0" layoutInCell="0" allowOverlap="1" relativeHeight="5">
                <wp:simplePos x="0" y="0"/>
                <wp:positionH relativeFrom="margin">
                  <wp:align>right</wp:align>
                </wp:positionH>
                <wp:positionV relativeFrom="page">
                  <wp:posOffset>2227580</wp:posOffset>
                </wp:positionV>
                <wp:extent cx="2520950" cy="2803525"/>
                <wp:effectExtent l="0" t="0" r="0" b="0"/>
                <wp:wrapSquare wrapText="bothSides"/>
                <wp:docPr id="5" name="Врезка1"/>
                <a:graphic xmlns:a="http://schemas.openxmlformats.org/drawingml/2006/main">
                  <a:graphicData uri="http://schemas.microsoft.com/office/word/2010/wordprocessingShape">
                    <wps:wsp>
                      <wps:cNvSpPr txBox="1"/>
                      <wps:spPr>
                        <a:xfrm>
                          <a:off x="0" y="0"/>
                          <a:ext cx="2520950" cy="2803525"/>
                        </a:xfrm>
                        <a:prstGeom prst="rect"/>
                        <a:solidFill>
                          <a:srgbClr val="FFFFFF">
                            <a:alpha val="0"/>
                          </a:srgbClr>
                        </a:solidFill>
                      </wps:spPr>
                      <wps:txbx>
                        <w:txbxContent>
                          <w:tbl>
                            <w:tblPr>
                              <w:tblW w:w="3970" w:type="dxa"/>
                              <w:jc w:val="start"/>
                              <w:tblInd w:w="0" w:type="dxa"/>
                              <w:tblLayout w:type="fixed"/>
                              <w:tblCellMar>
                                <w:top w:w="0" w:type="dxa"/>
                                <w:start w:w="108" w:type="dxa"/>
                                <w:bottom w:w="0" w:type="dxa"/>
                                <w:end w:w="108" w:type="dxa"/>
                              </w:tblCellMar>
                            </w:tblPr>
                            <w:tblGrid>
                              <w:gridCol w:w="3970"/>
                            </w:tblGrid>
                            <w:tr>
                              <w:trPr/>
                              <w:tc>
                                <w:tcPr>
                                  <w:tcW w:w="3970" w:type="dxa"/>
                                  <w:tcBorders/>
                                </w:tcPr>
                                <w:p>
                                  <w:pPr>
                                    <w:pStyle w:val="Normal"/>
                                    <w:autoSpaceDE w:val="false"/>
                                    <w:ind w:end="-31" w:hanging="0"/>
                                    <w:jc w:val="center"/>
                                    <w:rPr>
                                      <w:rFonts w:ascii="Garamond" w:hAnsi="Garamond" w:cs="Garamond"/>
                                      <w:sz w:val="22"/>
                                      <w:szCs w:val="22"/>
                                    </w:rPr>
                                  </w:pPr>
                                  <w:r>
                                    <w:rPr>
                                      <w:rFonts w:cs="Garamond" w:ascii="Garamond" w:hAnsi="Garamond"/>
                                      <w:sz w:val="22"/>
                                      <w:szCs w:val="22"/>
                                    </w:rPr>
                                    <w:drawing>
                                      <wp:inline distT="0" distB="0" distL="0" distR="0">
                                        <wp:extent cx="2399030" cy="2197735"/>
                                        <wp:effectExtent l="0" t="0" r="0" b="0"/>
                                        <wp:docPr id="6"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4" descr="" title=""/>
                                                <pic:cNvPicPr>
                                                  <a:picLocks noChangeAspect="1" noChangeArrowheads="1"/>
                                                </pic:cNvPicPr>
                                              </pic:nvPicPr>
                                              <pic:blipFill>
                                                <a:blip r:embed="rId6"/>
                                                <a:srcRect l="-2" t="-3249" r="-2" b="-2"/>
                                                <a:stretch>
                                                  <a:fillRect/>
                                                </a:stretch>
                                              </pic:blipFill>
                                              <pic:spPr bwMode="auto">
                                                <a:xfrm>
                                                  <a:off x="0" y="0"/>
                                                  <a:ext cx="2399030" cy="2197735"/>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3.</w:t>
                                  </w:r>
                                  <w:r>
                                    <w:rPr>
                                      <w:rFonts w:cs="Garamond" w:ascii="Garamond" w:hAnsi="Garamond"/>
                                      <w:sz w:val="22"/>
                                      <w:szCs w:val="22"/>
                                    </w:rPr>
                                    <w:t xml:space="preserve"> Лодки Месопотамии (по: [</w:t>
                                  </w:r>
                                  <w:r>
                                    <w:rPr>
                                      <w:rFonts w:cs="Garamond" w:ascii="Garamond" w:hAnsi="Garamond"/>
                                      <w:sz w:val="22"/>
                                      <w:szCs w:val="22"/>
                                      <w:lang w:val="en-US"/>
                                    </w:rPr>
                                    <w:t>Winkler</w:t>
                                  </w:r>
                                  <w:r>
                                    <w:rPr>
                                      <w:rFonts w:cs="Garamond" w:ascii="Garamond" w:hAnsi="Garamond"/>
                                      <w:sz w:val="22"/>
                                      <w:szCs w:val="22"/>
                                    </w:rPr>
                                    <w:t xml:space="preserve">, 1938–1939, </w:t>
                                  </w:r>
                                  <w:r>
                                    <w:rPr>
                                      <w:rFonts w:cs="Garamond" w:ascii="Garamond" w:hAnsi="Garamond"/>
                                      <w:sz w:val="22"/>
                                      <w:szCs w:val="22"/>
                                      <w:lang w:val="en-US"/>
                                    </w:rPr>
                                    <w:t>pt</w:t>
                                  </w:r>
                                  <w:r>
                                    <w:rPr>
                                      <w:rFonts w:cs="Garamond" w:ascii="Garamond" w:hAnsi="Garamond"/>
                                      <w:sz w:val="22"/>
                                      <w:szCs w:val="22"/>
                                    </w:rPr>
                                    <w:t xml:space="preserve">. 1, </w:t>
                                  </w:r>
                                  <w:r>
                                    <w:rPr>
                                      <w:rFonts w:cs="Garamond" w:ascii="Garamond" w:hAnsi="Garamond"/>
                                      <w:sz w:val="22"/>
                                      <w:szCs w:val="22"/>
                                      <w:lang w:val="en-US"/>
                                    </w:rPr>
                                    <w:t>pl</w:t>
                                  </w:r>
                                  <w:r>
                                    <w:rPr>
                                      <w:rFonts w:cs="Garamond" w:ascii="Garamond" w:hAnsi="Garamond"/>
                                      <w:sz w:val="22"/>
                                      <w:szCs w:val="22"/>
                                    </w:rPr>
                                    <w:t>. </w:t>
                                  </w:r>
                                  <w:r>
                                    <w:rPr>
                                      <w:rFonts w:cs="Garamond" w:ascii="Garamond" w:hAnsi="Garamond"/>
                                      <w:sz w:val="22"/>
                                      <w:szCs w:val="22"/>
                                      <w:lang w:val="en-US"/>
                                    </w:rPr>
                                    <w:t>XXXIX</w:t>
                                  </w:r>
                                  <w:r>
                                    <w:rPr>
                                      <w:rFonts w:cs="Garamond" w:ascii="Garamond" w:hAnsi="Garamond"/>
                                      <w:sz w:val="22"/>
                                      <w:szCs w:val="22"/>
                                    </w:rPr>
                                    <w:t>])</w:t>
                                  </w:r>
                                </w:p>
                                <w:p>
                                  <w:pPr>
                                    <w:pStyle w:val="Normal"/>
                                    <w:autoSpaceDE w:val="false"/>
                                    <w:ind w:end="-31" w:hanging="0"/>
                                    <w:jc w:val="center"/>
                                    <w:rPr>
                                      <w:rFonts w:ascii="Garamond" w:hAnsi="Garamond" w:cs="Garamond"/>
                                      <w:sz w:val="16"/>
                                      <w:szCs w:val="16"/>
                                    </w:rPr>
                                  </w:pPr>
                                  <w:r>
                                    <w:rPr>
                                      <w:rFonts w:cs="Garamond" w:ascii="Garamond" w:hAnsi="Garamond"/>
                                      <w:sz w:val="16"/>
                                      <w:szCs w:val="16"/>
                                    </w:rPr>
                                  </w:r>
                                </w:p>
                              </w:tc>
                            </w:tr>
                          </w:tbl>
                        </w:txbxContent>
                      </wps:txbx>
                      <wps:bodyPr anchor="t" lIns="0" tIns="0" rIns="0" bIns="0">
                        <a:noAutofit/>
                      </wps:bodyPr>
                    </wps:wsp>
                  </a:graphicData>
                </a:graphic>
              </wp:anchor>
            </w:drawing>
          </mc:Choice>
          <mc:Fallback>
            <w:pict>
              <v:rect fillcolor="#FFFFFF" style="position:absolute;rotation:0;width:198.5pt;height:220.75pt;mso-wrap-distance-left:9pt;mso-wrap-distance-right:0pt;mso-wrap-distance-top:0pt;mso-wrap-distance-bottom:0pt;margin-top:175.4pt;mso-position-vertical-relative:page;margin-left:240.85pt;mso-position-horizontal:right;mso-position-horizontal-relative:margin">
                <v:fill opacity="0f"/>
                <v:textbox inset="0in,0in,0in,0in">
                  <w:txbxContent>
                    <w:tbl>
                      <w:tblPr>
                        <w:tblW w:w="3970" w:type="dxa"/>
                        <w:jc w:val="start"/>
                        <w:tblInd w:w="0" w:type="dxa"/>
                        <w:tblLayout w:type="fixed"/>
                        <w:tblCellMar>
                          <w:top w:w="0" w:type="dxa"/>
                          <w:start w:w="108" w:type="dxa"/>
                          <w:bottom w:w="0" w:type="dxa"/>
                          <w:end w:w="108" w:type="dxa"/>
                        </w:tblCellMar>
                      </w:tblPr>
                      <w:tblGrid>
                        <w:gridCol w:w="3970"/>
                      </w:tblGrid>
                      <w:tr>
                        <w:trPr/>
                        <w:tc>
                          <w:tcPr>
                            <w:tcW w:w="3970" w:type="dxa"/>
                            <w:tcBorders/>
                          </w:tcPr>
                          <w:p>
                            <w:pPr>
                              <w:pStyle w:val="Normal"/>
                              <w:autoSpaceDE w:val="false"/>
                              <w:ind w:end="-31" w:hanging="0"/>
                              <w:jc w:val="center"/>
                              <w:rPr>
                                <w:rFonts w:ascii="Garamond" w:hAnsi="Garamond" w:cs="Garamond"/>
                                <w:sz w:val="22"/>
                                <w:szCs w:val="22"/>
                              </w:rPr>
                            </w:pPr>
                            <w:r>
                              <w:rPr>
                                <w:rFonts w:cs="Garamond" w:ascii="Garamond" w:hAnsi="Garamond"/>
                                <w:sz w:val="22"/>
                                <w:szCs w:val="22"/>
                              </w:rPr>
                              <w:drawing>
                                <wp:inline distT="0" distB="0" distL="0" distR="0">
                                  <wp:extent cx="2399030" cy="2197735"/>
                                  <wp:effectExtent l="0" t="0" r="0" b="0"/>
                                  <wp:docPr id="7"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4" descr="" title=""/>
                                          <pic:cNvPicPr>
                                            <a:picLocks noChangeAspect="1" noChangeArrowheads="1"/>
                                          </pic:cNvPicPr>
                                        </pic:nvPicPr>
                                        <pic:blipFill>
                                          <a:blip r:embed="rId6"/>
                                          <a:srcRect l="-2" t="-3249" r="-2" b="-2"/>
                                          <a:stretch>
                                            <a:fillRect/>
                                          </a:stretch>
                                        </pic:blipFill>
                                        <pic:spPr bwMode="auto">
                                          <a:xfrm>
                                            <a:off x="0" y="0"/>
                                            <a:ext cx="2399030" cy="2197735"/>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3.</w:t>
                            </w:r>
                            <w:r>
                              <w:rPr>
                                <w:rFonts w:cs="Garamond" w:ascii="Garamond" w:hAnsi="Garamond"/>
                                <w:sz w:val="22"/>
                                <w:szCs w:val="22"/>
                              </w:rPr>
                              <w:t xml:space="preserve"> Лодки Месопотамии (по: [</w:t>
                            </w:r>
                            <w:r>
                              <w:rPr>
                                <w:rFonts w:cs="Garamond" w:ascii="Garamond" w:hAnsi="Garamond"/>
                                <w:sz w:val="22"/>
                                <w:szCs w:val="22"/>
                                <w:lang w:val="en-US"/>
                              </w:rPr>
                              <w:t>Winkler</w:t>
                            </w:r>
                            <w:r>
                              <w:rPr>
                                <w:rFonts w:cs="Garamond" w:ascii="Garamond" w:hAnsi="Garamond"/>
                                <w:sz w:val="22"/>
                                <w:szCs w:val="22"/>
                              </w:rPr>
                              <w:t xml:space="preserve">, 1938–1939, </w:t>
                            </w:r>
                            <w:r>
                              <w:rPr>
                                <w:rFonts w:cs="Garamond" w:ascii="Garamond" w:hAnsi="Garamond"/>
                                <w:sz w:val="22"/>
                                <w:szCs w:val="22"/>
                                <w:lang w:val="en-US"/>
                              </w:rPr>
                              <w:t>pt</w:t>
                            </w:r>
                            <w:r>
                              <w:rPr>
                                <w:rFonts w:cs="Garamond" w:ascii="Garamond" w:hAnsi="Garamond"/>
                                <w:sz w:val="22"/>
                                <w:szCs w:val="22"/>
                              </w:rPr>
                              <w:t xml:space="preserve">. 1, </w:t>
                            </w:r>
                            <w:r>
                              <w:rPr>
                                <w:rFonts w:cs="Garamond" w:ascii="Garamond" w:hAnsi="Garamond"/>
                                <w:sz w:val="22"/>
                                <w:szCs w:val="22"/>
                                <w:lang w:val="en-US"/>
                              </w:rPr>
                              <w:t>pl</w:t>
                            </w:r>
                            <w:r>
                              <w:rPr>
                                <w:rFonts w:cs="Garamond" w:ascii="Garamond" w:hAnsi="Garamond"/>
                                <w:sz w:val="22"/>
                                <w:szCs w:val="22"/>
                              </w:rPr>
                              <w:t>. </w:t>
                            </w:r>
                            <w:r>
                              <w:rPr>
                                <w:rFonts w:cs="Garamond" w:ascii="Garamond" w:hAnsi="Garamond"/>
                                <w:sz w:val="22"/>
                                <w:szCs w:val="22"/>
                                <w:lang w:val="en-US"/>
                              </w:rPr>
                              <w:t>XXXIX</w:t>
                            </w:r>
                            <w:r>
                              <w:rPr>
                                <w:rFonts w:cs="Garamond" w:ascii="Garamond" w:hAnsi="Garamond"/>
                                <w:sz w:val="22"/>
                                <w:szCs w:val="22"/>
                              </w:rPr>
                              <w:t>])</w:t>
                            </w:r>
                          </w:p>
                          <w:p>
                            <w:pPr>
                              <w:pStyle w:val="Normal"/>
                              <w:autoSpaceDE w:val="false"/>
                              <w:ind w:end="-31" w:hanging="0"/>
                              <w:jc w:val="center"/>
                              <w:rPr>
                                <w:rFonts w:ascii="Garamond" w:hAnsi="Garamond" w:cs="Garamond"/>
                                <w:sz w:val="16"/>
                                <w:szCs w:val="16"/>
                              </w:rPr>
                            </w:pPr>
                            <w:r>
                              <w:rPr>
                                <w:rFonts w:cs="Garamond" w:ascii="Garamond" w:hAnsi="Garamond"/>
                                <w:sz w:val="16"/>
                                <w:szCs w:val="16"/>
                              </w:rPr>
                            </w:r>
                          </w:p>
                        </w:tc>
                      </w:tr>
                    </w:tbl>
                  </w:txbxContent>
                </v:textbox>
                <w10:wrap type="square"/>
              </v:rect>
            </w:pict>
          </mc:Fallback>
        </mc:AlternateContent>
      </w:r>
    </w:p>
    <w:p>
      <w:pPr>
        <w:pStyle w:val="Normal"/>
        <w:autoSpaceDE w:val="false"/>
        <w:ind w:end="-31" w:firstLine="720"/>
        <w:jc w:val="both"/>
        <w:rPr/>
      </w:pPr>
      <w:r>
        <w:rPr>
          <w:rFonts w:cs="Garamond" w:ascii="Garamond" w:hAnsi="Garamond"/>
          <w:sz w:val="24"/>
          <w:szCs w:val="24"/>
        </w:rPr>
        <w:t>Похожее расхождение взглядов на эти затруднительные вопросы ранее демонстрировала другая ближайшая по роду занятий пара исследователей: не успевший издать и половины найденных им рисунков Х. Винклер, которого большие «прямоугольные» суда якобы нетипичной для Нила конструкции утвердили в мыслях о вторгшихся в додинастическую Долину «восточных захватчиках» и прирожденных мореходах [</w:t>
      </w:r>
      <w:r>
        <w:rPr>
          <w:rFonts w:cs="Garamond" w:ascii="Garamond" w:hAnsi="Garamond"/>
          <w:sz w:val="24"/>
          <w:szCs w:val="24"/>
          <w:lang w:val="en-US"/>
        </w:rPr>
        <w:t>Winkler</w:t>
      </w:r>
      <w:r>
        <w:rPr>
          <w:rFonts w:cs="Garamond" w:ascii="Garamond" w:hAnsi="Garamond"/>
          <w:sz w:val="24"/>
          <w:szCs w:val="24"/>
        </w:rPr>
        <w:t>, 1938–1939], и продолживший спустя полвека публикацию его экспедиционных материалов чехо-немецкий египтолог П. Червичек, признанный специалист по петроглифам древних Египта и Нубии [Č</w:t>
      </w:r>
      <w:r>
        <w:rPr>
          <w:rFonts w:cs="Garamond" w:ascii="Garamond" w:hAnsi="Garamond"/>
          <w:sz w:val="24"/>
          <w:szCs w:val="24"/>
          <w:lang w:val="en-US"/>
        </w:rPr>
        <w:t>ervi</w:t>
      </w:r>
      <w:r>
        <w:rPr>
          <w:rFonts w:cs="Garamond" w:ascii="Garamond" w:hAnsi="Garamond"/>
          <w:sz w:val="24"/>
          <w:szCs w:val="24"/>
        </w:rPr>
        <w:t>č</w:t>
      </w:r>
      <w:r>
        <w:rPr>
          <w:rFonts w:cs="Garamond" w:ascii="Garamond" w:hAnsi="Garamond"/>
          <w:sz w:val="24"/>
          <w:szCs w:val="24"/>
          <w:lang w:val="en-US"/>
        </w:rPr>
        <w:t>ek</w:t>
      </w:r>
      <w:r>
        <w:rPr>
          <w:rFonts w:cs="Garamond" w:ascii="Garamond" w:hAnsi="Garamond"/>
          <w:sz w:val="24"/>
          <w:szCs w:val="24"/>
        </w:rPr>
        <w:t>, 1974; 1992–1993], который категорически отрицал существование реальных прообразов прежде всего у огромных ладей. По его независимому убеждению, обсуждаемая петроглифика, «как любое наскальное искусство», носила «в первую очередь религиозный характер», а ее предметами были «сверхъестественные создания, сакральные символы и мифы», причем вырезывание этих картин на камне «само по себе являлось культовым действом»; соответственно, для них выбиралась какая-то «подходящая», неслучайная местность, тем более что многие из них представляют собой палимпсесты (</w:t>
      </w:r>
      <w:r>
        <w:rPr>
          <w:rFonts w:cs="Garamond" w:ascii="Garamond" w:hAnsi="Garamond"/>
          <w:sz w:val="24"/>
          <w:szCs w:val="24"/>
          <w:lang w:val="en-US"/>
        </w:rPr>
        <w:t>c</w:t>
      </w:r>
      <w:r>
        <w:rPr>
          <w:rFonts w:cs="Garamond" w:ascii="Garamond" w:hAnsi="Garamond"/>
          <w:sz w:val="24"/>
          <w:szCs w:val="24"/>
        </w:rPr>
        <w:t>р.: [</w:t>
      </w:r>
      <w:r>
        <w:rPr>
          <w:rFonts w:cs="Garamond" w:ascii="Garamond" w:hAnsi="Garamond"/>
          <w:sz w:val="24"/>
          <w:szCs w:val="24"/>
          <w:lang w:val="en-US"/>
        </w:rPr>
        <w:t>Judd</w:t>
      </w:r>
      <w:r>
        <w:rPr>
          <w:rFonts w:cs="Garamond" w:ascii="Garamond" w:hAnsi="Garamond"/>
          <w:sz w:val="24"/>
          <w:szCs w:val="24"/>
        </w:rPr>
        <w:t>, 2008]), свидетельствующие о неоднократном посещении и использовании художниками данных «локаций», где, возможно, совершалось поклонение определенным скалам, пещерам, камням, холмам, рекам и т. п. Здесь также могли обитать боги, для задабривания которых, помимо подобающих заклинаний и материальных жертв, как раз и служили «священные» петроглифы. Сами божества изображались в лодках различными антропоморфными гигантами, нередко непропорционально исполинскими по сравнению со своими судами; если же такие фигуры в ладье отсутствовали, значит, бог или богиня взошли на нее в невидимой ипостаси; в любом случае, уже в первобытном разумении это были «божественные барки» — «небесный транспорт», который затем генетически «перешел в древнеегипетскую религию» [Č</w:t>
      </w:r>
      <w:r>
        <w:rPr>
          <w:rFonts w:cs="Garamond" w:ascii="Garamond" w:hAnsi="Garamond"/>
          <w:sz w:val="24"/>
          <w:szCs w:val="24"/>
          <w:lang w:val="en-US"/>
        </w:rPr>
        <w:t>ervi</w:t>
      </w:r>
      <w:r>
        <w:rPr>
          <w:rFonts w:cs="Garamond" w:ascii="Garamond" w:hAnsi="Garamond"/>
          <w:sz w:val="24"/>
          <w:szCs w:val="24"/>
        </w:rPr>
        <w:t>č</w:t>
      </w:r>
      <w:r>
        <w:rPr>
          <w:rFonts w:cs="Garamond" w:ascii="Garamond" w:hAnsi="Garamond"/>
          <w:sz w:val="24"/>
          <w:szCs w:val="24"/>
          <w:lang w:val="en-US"/>
        </w:rPr>
        <w:t>ek</w:t>
      </w:r>
      <w:r>
        <w:rPr>
          <w:rFonts w:cs="Garamond" w:ascii="Garamond" w:hAnsi="Garamond"/>
          <w:sz w:val="24"/>
          <w:szCs w:val="24"/>
        </w:rPr>
        <w:t>, 1986].</w:t>
      </w:r>
    </w:p>
    <w:p>
      <w:pPr>
        <w:pStyle w:val="Normal"/>
        <w:autoSpaceDE w:val="false"/>
        <w:ind w:end="-31" w:firstLine="720"/>
        <w:jc w:val="both"/>
        <w:rPr/>
      </w:pPr>
      <w:r>
        <w:rPr>
          <w:rFonts w:cs="Garamond" w:ascii="Garamond" w:hAnsi="Garamond"/>
          <w:sz w:val="24"/>
          <w:szCs w:val="24"/>
        </w:rPr>
        <w:t>Повторю, чтобы подчеркнуть: продолжающиеся находки и интерпретации древнейших петроглифов в пустынях Верхнего Египта</w:t>
      </w:r>
      <w:r>
        <w:rPr>
          <w:rStyle w:val="Style10"/>
          <w:rStyle w:val="Style17"/>
          <w:rFonts w:cs="Garamond" w:ascii="Garamond" w:hAnsi="Garamond"/>
          <w:sz w:val="24"/>
          <w:szCs w:val="24"/>
        </w:rPr>
        <w:footnoteReference w:id="8"/>
      </w:r>
      <w:r>
        <w:rPr>
          <w:rFonts w:cs="Garamond" w:ascii="Garamond" w:hAnsi="Garamond"/>
          <w:sz w:val="24"/>
          <w:szCs w:val="24"/>
        </w:rPr>
        <w:t xml:space="preserve"> пока не способствуют академическому разрешению рассмотренного концептуального противостояния исключительно в пользу одной или другой точки зрения, как бы при этом ни были логически уязвимы подходы и позиции известных теоретиков. Например, Т. Уилкинсон резюмировал, что для понимания «истинного смысла» петроглифических ладейных сюжетов додинастического времени исследователю не остается ничего, кроме обращения к роли лодок «в искусстве и культуре эпохи фараонов», и в реконструкции первобытноегипетского к ним отношения с легкостью прибегал к сегодняшним египтолого-религиоведческим толкованиям их захоронений около царских усыпальниц, их изображений и моделей в гробницах царей, сановников и рядовых египтян, упоминаний о них в Текстах пирамид и т. п. [</w:t>
      </w:r>
      <w:r>
        <w:rPr>
          <w:rFonts w:cs="Garamond" w:ascii="Garamond" w:hAnsi="Garamond"/>
          <w:sz w:val="24"/>
          <w:szCs w:val="24"/>
          <w:lang w:val="en-US"/>
        </w:rPr>
        <w:t>Wilkinson</w:t>
      </w:r>
      <w:r>
        <w:rPr>
          <w:rFonts w:cs="Garamond" w:ascii="Garamond" w:hAnsi="Garamond"/>
          <w:sz w:val="24"/>
          <w:szCs w:val="24"/>
        </w:rPr>
        <w:t>, 2003] — заведомо научно некорректный метод, своего рода «генезис фараонов» навыворот (</w:t>
      </w:r>
      <w:r>
        <w:rPr>
          <w:rFonts w:cs="Garamond" w:ascii="Garamond" w:hAnsi="Garamond"/>
          <w:sz w:val="24"/>
          <w:szCs w:val="24"/>
          <w:lang w:val="en-US"/>
        </w:rPr>
        <w:t>c</w:t>
      </w:r>
      <w:r>
        <w:rPr>
          <w:rFonts w:cs="Garamond" w:ascii="Garamond" w:hAnsi="Garamond"/>
          <w:sz w:val="24"/>
          <w:szCs w:val="24"/>
        </w:rPr>
        <w:t>р.: [Č</w:t>
      </w:r>
      <w:r>
        <w:rPr>
          <w:rFonts w:cs="Garamond" w:ascii="Garamond" w:hAnsi="Garamond"/>
          <w:sz w:val="24"/>
          <w:szCs w:val="24"/>
          <w:lang w:val="en-US"/>
        </w:rPr>
        <w:t>ervi</w:t>
      </w:r>
      <w:r>
        <w:rPr>
          <w:rFonts w:cs="Garamond" w:ascii="Garamond" w:hAnsi="Garamond"/>
          <w:sz w:val="24"/>
          <w:szCs w:val="24"/>
        </w:rPr>
        <w:t>č</w:t>
      </w:r>
      <w:r>
        <w:rPr>
          <w:rFonts w:cs="Garamond" w:ascii="Garamond" w:hAnsi="Garamond"/>
          <w:sz w:val="24"/>
          <w:szCs w:val="24"/>
          <w:lang w:val="en-US"/>
        </w:rPr>
        <w:t>ek</w:t>
      </w:r>
      <w:r>
        <w:rPr>
          <w:rFonts w:cs="Garamond" w:ascii="Garamond" w:hAnsi="Garamond"/>
          <w:sz w:val="24"/>
          <w:szCs w:val="24"/>
        </w:rPr>
        <w:t>, 1995]). Если же, как утверждал в той же связи Т. Уилкинсон, лодки в древнем Египте служили главным транспортным средством божествам, именно поскольку являлись таковым для людей в повседневной жизни на Ниле, то что мешало ему хотя бы допустить наличие реальных прототипов и у их доисторических петроглифов?! Столь же сомнительна порой и аргументация П. Червичека: настаивая на сверхъестественном подтексте первобытной петроглифики с ее восхождением к «магическим практикам», он ссылался на старинную охотничью легенду о некоем нубийском шейхе, который высекал на скалах звериные образы с целью привлечения в мертвые безводные пустыни животных из плоти и крови [Č</w:t>
      </w:r>
      <w:r>
        <w:rPr>
          <w:rFonts w:cs="Garamond" w:ascii="Garamond" w:hAnsi="Garamond"/>
          <w:sz w:val="24"/>
          <w:szCs w:val="24"/>
          <w:lang w:val="en-US"/>
        </w:rPr>
        <w:t>ervi</w:t>
      </w:r>
      <w:r>
        <w:rPr>
          <w:rFonts w:cs="Garamond" w:ascii="Garamond" w:hAnsi="Garamond"/>
          <w:sz w:val="24"/>
          <w:szCs w:val="24"/>
        </w:rPr>
        <w:t>č</w:t>
      </w:r>
      <w:r>
        <w:rPr>
          <w:rFonts w:cs="Garamond" w:ascii="Garamond" w:hAnsi="Garamond"/>
          <w:sz w:val="24"/>
          <w:szCs w:val="24"/>
          <w:lang w:val="en-US"/>
        </w:rPr>
        <w:t>ek</w:t>
      </w:r>
      <w:r>
        <w:rPr>
          <w:rFonts w:cs="Garamond" w:ascii="Garamond" w:hAnsi="Garamond"/>
          <w:sz w:val="24"/>
          <w:szCs w:val="24"/>
        </w:rPr>
        <w:t>, 1986]. Законен вопрос: очевидна ли злободневность подобной практики для гумидной (влажной) эпохи египетского неолита (</w:t>
      </w:r>
      <w:r>
        <w:rPr>
          <w:rFonts w:cs="Garamond" w:ascii="Garamond" w:hAnsi="Garamond"/>
          <w:sz w:val="24"/>
          <w:szCs w:val="24"/>
          <w:lang w:val="en-US"/>
        </w:rPr>
        <w:t>c</w:t>
      </w:r>
      <w:r>
        <w:rPr>
          <w:rFonts w:cs="Garamond" w:ascii="Garamond" w:hAnsi="Garamond"/>
          <w:sz w:val="24"/>
          <w:szCs w:val="24"/>
        </w:rPr>
        <w:t>м.: [Прусаков, 2009]), когда систематически запечатлеваемые в петроглифах слоны, гиппопотамы, крокодилы, жирафы, страусы, быки, коровы, антилопы, газели, дикие ослы и кошки, как и сцены охоты на некоторых из них с луками, гарпунами, арканами и собаками (см.: [Прусаков, 2019б]), в нынешних удаленных от Реки засушливейших районах Египта и Судана могли (а иные могут и по сей день [</w:t>
      </w:r>
      <w:r>
        <w:rPr>
          <w:rFonts w:cs="Garamond" w:ascii="Garamond" w:hAnsi="Garamond"/>
          <w:sz w:val="24"/>
          <w:szCs w:val="24"/>
          <w:lang w:val="en-US"/>
        </w:rPr>
        <w:t>Hobbs</w:t>
      </w:r>
      <w:r>
        <w:rPr>
          <w:rFonts w:cs="Garamond" w:ascii="Garamond" w:hAnsi="Garamond"/>
          <w:sz w:val="24"/>
          <w:szCs w:val="24"/>
        </w:rPr>
        <w:t>, 1989]) изображаться с натуры (</w:t>
      </w:r>
      <w:r>
        <w:rPr>
          <w:rFonts w:cs="Garamond" w:ascii="Garamond" w:hAnsi="Garamond"/>
          <w:sz w:val="24"/>
          <w:szCs w:val="24"/>
          <w:lang w:val="en-US"/>
        </w:rPr>
        <w:t>c</w:t>
      </w:r>
      <w:r>
        <w:rPr>
          <w:rFonts w:cs="Garamond" w:ascii="Garamond" w:hAnsi="Garamond"/>
          <w:sz w:val="24"/>
          <w:szCs w:val="24"/>
        </w:rPr>
        <w:t>р.: [</w:t>
      </w:r>
      <w:r>
        <w:rPr>
          <w:rFonts w:cs="Garamond" w:ascii="Garamond" w:hAnsi="Garamond"/>
          <w:iCs/>
          <w:sz w:val="24"/>
          <w:szCs w:val="24"/>
          <w:lang w:val="en-US"/>
        </w:rPr>
        <w:t>Butzer</w:t>
      </w:r>
      <w:r>
        <w:rPr>
          <w:rFonts w:cs="Garamond" w:ascii="Garamond" w:hAnsi="Garamond"/>
          <w:sz w:val="24"/>
          <w:szCs w:val="24"/>
        </w:rPr>
        <w:t xml:space="preserve">, </w:t>
      </w:r>
      <w:r>
        <w:rPr>
          <w:rFonts w:cs="Garamond" w:ascii="Garamond" w:hAnsi="Garamond"/>
          <w:iCs/>
          <w:sz w:val="24"/>
          <w:szCs w:val="24"/>
        </w:rPr>
        <w:t xml:space="preserve">1958; 1959; </w:t>
      </w:r>
      <w:r>
        <w:rPr>
          <w:rFonts w:cs="Garamond" w:ascii="Garamond" w:hAnsi="Garamond"/>
          <w:sz w:val="24"/>
          <w:szCs w:val="24"/>
          <w:lang w:val="en-US"/>
        </w:rPr>
        <w:t>Riemer</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2009])? И так ли уж бесспорна полная потусторонность сопровождающих эту богатую «наскальную» фауну лодок, если в те же времена в вади Восточной пустыни существовали сезонные или постоянные притоки Нила?</w:t>
      </w:r>
    </w:p>
    <w:p>
      <w:pPr>
        <w:pStyle w:val="Normal"/>
        <w:autoSpaceDE w:val="false"/>
        <w:ind w:end="-31" w:firstLine="720"/>
        <w:jc w:val="both"/>
        <w:rPr/>
      </w:pPr>
      <w:r>
        <w:rPr>
          <w:rFonts w:cs="Garamond" w:ascii="Garamond" w:hAnsi="Garamond"/>
          <w:sz w:val="24"/>
          <w:szCs w:val="24"/>
        </w:rPr>
        <w:t>Представляющий новейшее поколение исследователей древнеегипетской петроглифики Фрэнсис Ланкестер</w:t>
      </w:r>
      <w:r>
        <w:rPr>
          <w:rStyle w:val="Style10"/>
          <w:rStyle w:val="Style17"/>
          <w:rFonts w:cs="Garamond" w:ascii="Garamond" w:hAnsi="Garamond"/>
          <w:sz w:val="24"/>
          <w:szCs w:val="24"/>
        </w:rPr>
        <w:footnoteReference w:id="9"/>
      </w:r>
      <w:r>
        <w:rPr>
          <w:rFonts w:cs="Garamond" w:ascii="Garamond" w:hAnsi="Garamond"/>
          <w:sz w:val="24"/>
          <w:szCs w:val="24"/>
        </w:rPr>
        <w:t xml:space="preserve">, бывший школьный учитель истории и участник любительского проекта </w:t>
      </w:r>
      <w:r>
        <w:rPr>
          <w:rFonts w:cs="Garamond" w:ascii="Garamond" w:hAnsi="Garamond"/>
          <w:sz w:val="24"/>
          <w:szCs w:val="24"/>
          <w:lang w:val="en-US"/>
        </w:rPr>
        <w:t>EDS</w:t>
      </w:r>
      <w:r>
        <w:rPr>
          <w:rFonts w:cs="Garamond" w:ascii="Garamond" w:hAnsi="Garamond"/>
          <w:sz w:val="24"/>
          <w:szCs w:val="24"/>
        </w:rPr>
        <w:t xml:space="preserve">, получивший в 2013 г. ученую степень доктора философии по археологии Даремского университета, заочно полемизируя в своей диссертации с П. Червичеком и Т. Уилкинсоном, рассуждал в том духе, что если статус доисторических ладей, изображавшихся в верхнеегипетских пустынях вдали от Нила, был заупокойным, то и их «пассажирами» изначально являлись скорее умершие люди, нежели некие неведомые нам зримые или незримые боги. По его оценкам, из примитивно-таинственной иконографии дофараоновского периода, причем самого позднего, отчетливо проступает лишь один «божественный образ» — сокол, вошедший под именем Хора в официальную титулатуру уже архаических царей Египта, и единственный «антропоморфный бог» — итифаллический Мин, засвидетельствованный уникальным, опять же позднедодинастическим, рисунком на скале слева от пещерного храма фараона </w:t>
      </w:r>
      <w:r>
        <w:rPr>
          <w:rFonts w:cs="Garamond" w:ascii="Garamond" w:hAnsi="Garamond"/>
          <w:sz w:val="24"/>
          <w:szCs w:val="24"/>
          <w:lang w:val="en-US"/>
        </w:rPr>
        <w:t>XIX</w:t>
      </w:r>
      <w:r>
        <w:rPr>
          <w:rFonts w:cs="Garamond" w:ascii="Garamond" w:hAnsi="Garamond"/>
          <w:sz w:val="24"/>
          <w:szCs w:val="24"/>
        </w:rPr>
        <w:t xml:space="preserve"> династии Сети </w:t>
      </w:r>
      <w:r>
        <w:rPr>
          <w:rFonts w:cs="Garamond" w:ascii="Garamond" w:hAnsi="Garamond"/>
          <w:sz w:val="24"/>
          <w:szCs w:val="24"/>
          <w:lang w:val="en-US"/>
        </w:rPr>
        <w:t>I</w:t>
      </w:r>
      <w:r>
        <w:rPr>
          <w:rFonts w:cs="Garamond" w:ascii="Garamond" w:hAnsi="Garamond"/>
          <w:sz w:val="24"/>
          <w:szCs w:val="24"/>
        </w:rPr>
        <w:t xml:space="preserve"> в Вади Аббад/Канаис. Пусть Мина здесь изобразили стоящим в огромной (относительно его фигуры) ладье [</w:t>
      </w:r>
      <w:r>
        <w:rPr>
          <w:rFonts w:cs="Garamond" w:ascii="Garamond" w:hAnsi="Garamond"/>
          <w:sz w:val="24"/>
          <w:szCs w:val="24"/>
          <w:lang w:val="en-US"/>
        </w:rPr>
        <w:t>Winkler</w:t>
      </w:r>
      <w:r>
        <w:rPr>
          <w:rFonts w:cs="Garamond" w:ascii="Garamond" w:hAnsi="Garamond"/>
          <w:sz w:val="24"/>
          <w:szCs w:val="24"/>
        </w:rPr>
        <w:t xml:space="preserve">, 1938–1939; </w:t>
      </w:r>
      <w:r>
        <w:rPr>
          <w:rFonts w:cs="Garamond" w:ascii="Garamond" w:hAnsi="Garamond"/>
          <w:sz w:val="24"/>
          <w:szCs w:val="24"/>
          <w:lang w:val="en-US"/>
        </w:rPr>
        <w:t>Weigall</w:t>
      </w:r>
      <w:r>
        <w:rPr>
          <w:rFonts w:cs="Garamond" w:ascii="Garamond" w:hAnsi="Garamond"/>
          <w:sz w:val="24"/>
          <w:szCs w:val="24"/>
        </w:rPr>
        <w:t>, 1909] — «это произошло спустя по крайней мере 500 лет после создания значительной части додинастических петроглифов», включая лодки, потому-то и могли присутствующие в них человекоподобные колоссы в основной своей массе символизировать вовсе не богов, а покойников-предков или членов семей первобытных художников. К сожалению, как справедливо подытоживал Ф. Ланкестер, у нас нет никакого способа проверить эту гипотезу при очевидной несостоятельности «ретроспективных проекций» мировоззрения египетских Царств (даже «Раннего», или архаики) в додинастику [</w:t>
      </w:r>
      <w:r>
        <w:rPr>
          <w:rFonts w:cs="Garamond" w:ascii="Garamond" w:hAnsi="Garamond"/>
          <w:sz w:val="24"/>
          <w:szCs w:val="24"/>
          <w:lang w:val="en-US"/>
        </w:rPr>
        <w:t>Lankester</w:t>
      </w:r>
      <w:r>
        <w:rPr>
          <w:rFonts w:cs="Garamond" w:ascii="Garamond" w:hAnsi="Garamond"/>
          <w:sz w:val="24"/>
          <w:szCs w:val="24"/>
        </w:rPr>
        <w:t>, 2012].</w:t>
      </w:r>
    </w:p>
    <w:p>
      <w:pPr>
        <w:pStyle w:val="Normal"/>
        <w:autoSpaceDE w:val="false"/>
        <w:ind w:end="-31" w:firstLine="720"/>
        <w:jc w:val="both"/>
        <w:rPr/>
      </w:pPr>
      <w:r>
        <w:rPr>
          <w:rFonts w:cs="Garamond" w:ascii="Garamond" w:hAnsi="Garamond"/>
          <w:sz w:val="24"/>
          <w:szCs w:val="24"/>
        </w:rPr>
        <w:t xml:space="preserve">В отличие от «культово-магических» вариантов решения проблемы, неизбежно страдающих субъективизмом и умозрительностью исследовательских подходов и выводов, положение о реалистичности прообразов представленных египетскими доисторическими петроглифами животных и людей — охотников и пастухов (?), а также хронологически и композиционно сопутствующих им лодок, все же поддается объективной верификации, где определяющим критерием служит климатический фон той далекой поры, когда дописьменное наскальное художественное творчество в интересующем нас районе Восточной пустыни получило наивысшее развитие. Сегодня благодаря лавинообразно растущему количеству специальных публикаций, освещающих палеогеографические процессы и события в голоцене в самых разных уголках Земли, наверное, не осталось ученых-«древников», не осведомленных о том, что климат Египта, как и будущей Сахары в целом, до второй половины </w:t>
      </w:r>
      <w:r>
        <w:rPr>
          <w:rFonts w:cs="Garamond" w:ascii="Garamond" w:hAnsi="Garamond"/>
          <w:sz w:val="24"/>
          <w:szCs w:val="24"/>
          <w:lang w:val="en-US"/>
        </w:rPr>
        <w:t>IV</w:t>
      </w:r>
      <w:r>
        <w:rPr>
          <w:rFonts w:cs="Garamond" w:ascii="Garamond" w:hAnsi="Garamond"/>
          <w:sz w:val="24"/>
          <w:szCs w:val="24"/>
        </w:rPr>
        <w:t> тыс. до н. э. был неузнаваемо дождливым и влажным по сравнению с континентальной тропической сушью, которая установилась в регионе в ходе последующей аридизации, качественно изменившей гидрологические условия Северной Африки накануне и, особенно резко, на заре фараоновской эпохи [Прусаков, 2009; 2018а]. Применительно к вопросу о первобытных лодках в верхнеегипетских вади, палеоклиматический ракурс нацеливает наше внимание на водоносность и высоту разливов ранне- и среднеголоценового Главного Нила, которые существенно превосходили свои исторические «стандарты» благодаря прежде всего регулярным муссонным ливням, возобновившимся в позднеледниковье у истоков Реки: в области «великих экваториальных» озер (Виктория, Альберт и др.), дающих начала Белому Нилу, и над Эфиопским нагорьем с озером Тана, откуда изливается Голубой Нил (см., например: [</w:t>
      </w:r>
      <w:r>
        <w:rPr>
          <w:rFonts w:cs="Garamond" w:ascii="Garamond" w:hAnsi="Garamond"/>
          <w:sz w:val="24"/>
          <w:szCs w:val="24"/>
          <w:lang w:val="en-US"/>
        </w:rPr>
        <w:t>Butzer</w:t>
      </w:r>
      <w:r>
        <w:rPr>
          <w:rFonts w:cs="Garamond" w:ascii="Garamond" w:hAnsi="Garamond"/>
          <w:sz w:val="24"/>
          <w:szCs w:val="24"/>
        </w:rPr>
        <w:t xml:space="preserve">, 1998; </w:t>
      </w:r>
      <w:r>
        <w:rPr>
          <w:rFonts w:cs="Garamond" w:ascii="Garamond" w:hAnsi="Garamond"/>
          <w:iCs/>
          <w:sz w:val="24"/>
          <w:szCs w:val="24"/>
          <w:lang w:val="en-US"/>
        </w:rPr>
        <w:t>Talbot</w:t>
      </w:r>
      <w:r>
        <w:rPr>
          <w:rFonts w:cs="Garamond" w:ascii="Garamond" w:hAnsi="Garamond"/>
          <w:iCs/>
          <w:sz w:val="24"/>
          <w:szCs w:val="24"/>
        </w:rPr>
        <w:t xml:space="preserve">, </w:t>
      </w:r>
      <w:r>
        <w:rPr>
          <w:rFonts w:cs="Garamond" w:ascii="Garamond" w:hAnsi="Garamond"/>
          <w:iCs/>
          <w:sz w:val="24"/>
          <w:szCs w:val="24"/>
          <w:lang w:val="en-US"/>
        </w:rPr>
        <w:t>Williams</w:t>
      </w:r>
      <w:r>
        <w:rPr>
          <w:rFonts w:cs="Garamond" w:ascii="Garamond" w:hAnsi="Garamond"/>
          <w:iCs/>
          <w:sz w:val="24"/>
          <w:szCs w:val="24"/>
        </w:rPr>
        <w:t xml:space="preserve">, </w:t>
      </w:r>
      <w:r>
        <w:rPr>
          <w:rFonts w:cs="Garamond" w:ascii="Garamond" w:hAnsi="Garamond"/>
          <w:iCs/>
          <w:sz w:val="24"/>
          <w:szCs w:val="24"/>
          <w:lang w:val="en-US"/>
        </w:rPr>
        <w:t>Adamson</w:t>
      </w:r>
      <w:r>
        <w:rPr>
          <w:rFonts w:cs="Garamond" w:ascii="Garamond" w:hAnsi="Garamond"/>
          <w:iCs/>
          <w:sz w:val="24"/>
          <w:szCs w:val="24"/>
        </w:rPr>
        <w:t xml:space="preserve">, </w:t>
      </w:r>
      <w:r>
        <w:rPr>
          <w:rFonts w:cs="Garamond" w:ascii="Garamond" w:hAnsi="Garamond"/>
          <w:sz w:val="24"/>
          <w:szCs w:val="24"/>
        </w:rPr>
        <w:t xml:space="preserve">2000; </w:t>
      </w:r>
      <w:r>
        <w:rPr>
          <w:rFonts w:cs="Garamond" w:ascii="Garamond" w:hAnsi="Garamond"/>
          <w:sz w:val="24"/>
          <w:szCs w:val="24"/>
          <w:lang w:val="en-US"/>
        </w:rPr>
        <w:t>Williams</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xml:space="preserve">., 2006]). Кроме того, естественная динамика климата голоцена с пиком потепления большого атлантического оптимума в последней трети </w:t>
      </w:r>
      <w:r>
        <w:rPr>
          <w:rFonts w:cs="Garamond" w:ascii="Garamond" w:hAnsi="Garamond"/>
          <w:sz w:val="24"/>
          <w:szCs w:val="24"/>
          <w:lang w:val="en-US"/>
        </w:rPr>
        <w:t>V</w:t>
      </w:r>
      <w:r>
        <w:rPr>
          <w:rFonts w:cs="Garamond" w:ascii="Garamond" w:hAnsi="Garamond"/>
          <w:sz w:val="24"/>
          <w:szCs w:val="24"/>
        </w:rPr>
        <w:t> тыс. до н. э., когда температура Северного полушария превышала современную в среднем на 0,82°</w:t>
      </w:r>
      <w:r>
        <w:rPr>
          <w:rFonts w:cs="Garamond" w:ascii="Garamond" w:hAnsi="Garamond"/>
          <w:sz w:val="24"/>
          <w:szCs w:val="24"/>
          <w:lang w:val="en-US"/>
        </w:rPr>
        <w:t>C</w:t>
      </w:r>
      <w:r>
        <w:rPr>
          <w:rFonts w:cs="Garamond" w:ascii="Garamond" w:hAnsi="Garamond"/>
          <w:sz w:val="24"/>
          <w:szCs w:val="24"/>
        </w:rPr>
        <w:t xml:space="preserve"> и максимально на 1,4°</w:t>
      </w:r>
      <w:r>
        <w:rPr>
          <w:rFonts w:cs="Garamond" w:ascii="Garamond" w:hAnsi="Garamond"/>
          <w:sz w:val="24"/>
          <w:szCs w:val="24"/>
          <w:lang w:val="en-US"/>
        </w:rPr>
        <w:t>C</w:t>
      </w:r>
      <w:r>
        <w:rPr>
          <w:rFonts w:cs="Garamond" w:ascii="Garamond" w:hAnsi="Garamond"/>
          <w:sz w:val="24"/>
          <w:szCs w:val="24"/>
        </w:rPr>
        <w:t xml:space="preserve"> [Клименко, 1997], и значительным параллельным расширением в направлении Средиземноморья африканской зоны летних муссонных дождей, граница которой предположительно достигала 30-го градуса с. ш. (иначе говоря, нильской Дельты) [</w:t>
      </w:r>
      <w:r>
        <w:rPr>
          <w:rFonts w:cs="Garamond" w:ascii="Garamond" w:hAnsi="Garamond"/>
          <w:sz w:val="24"/>
          <w:szCs w:val="24"/>
          <w:lang w:val="en-US"/>
        </w:rPr>
        <w:t>Fairbridge</w:t>
      </w:r>
      <w:r>
        <w:rPr>
          <w:rFonts w:cs="Garamond" w:ascii="Garamond" w:hAnsi="Garamond"/>
          <w:sz w:val="24"/>
          <w:szCs w:val="24"/>
        </w:rPr>
        <w:t xml:space="preserve">, 1962; </w:t>
      </w:r>
      <w:r>
        <w:rPr>
          <w:rFonts w:cs="Garamond" w:ascii="Garamond" w:hAnsi="Garamond"/>
          <w:sz w:val="24"/>
          <w:szCs w:val="24"/>
          <w:lang w:val="en-US"/>
        </w:rPr>
        <w:t>Sarnthein</w:t>
      </w:r>
      <w:r>
        <w:rPr>
          <w:rFonts w:cs="Garamond" w:ascii="Garamond" w:hAnsi="Garamond"/>
          <w:sz w:val="24"/>
          <w:szCs w:val="24"/>
        </w:rPr>
        <w:t>, 1978], позволяет с изрядной долей уверенности допустить, что, помимо Желтого Нила в Вади Ховар</w:t>
      </w:r>
      <w:r>
        <w:rPr>
          <w:rStyle w:val="Style10"/>
          <w:rStyle w:val="Style17"/>
          <w:rFonts w:cs="Garamond" w:ascii="Garamond" w:hAnsi="Garamond"/>
          <w:sz w:val="24"/>
          <w:szCs w:val="24"/>
        </w:rPr>
        <w:footnoteReference w:id="10"/>
      </w:r>
      <w:r>
        <w:rPr>
          <w:rFonts w:cs="Garamond" w:ascii="Garamond" w:hAnsi="Garamond"/>
          <w:sz w:val="24"/>
          <w:szCs w:val="24"/>
        </w:rPr>
        <w:t>, у Реки на том этапе ее гидроэволюции имелись притоки и в других ныне сухих руслах, в том числе в богатейших на петроглифику разветвленных системах египетских восточных Вади Хаммамат и Вади Баррамийа [</w:t>
      </w:r>
      <w:r>
        <w:rPr>
          <w:rFonts w:cs="Garamond" w:ascii="Garamond" w:hAnsi="Garamond"/>
          <w:sz w:val="24"/>
          <w:szCs w:val="24"/>
          <w:lang w:val="en-US"/>
        </w:rPr>
        <w:t>Moneim</w:t>
      </w:r>
      <w:r>
        <w:rPr>
          <w:rFonts w:cs="Garamond" w:ascii="Garamond" w:hAnsi="Garamond"/>
          <w:sz w:val="24"/>
          <w:szCs w:val="24"/>
        </w:rPr>
        <w:t>, 2005].</w:t>
      </w:r>
    </w:p>
    <w:p>
      <w:pPr>
        <w:pStyle w:val="Normal"/>
        <w:autoSpaceDE w:val="false"/>
        <w:ind w:end="-31" w:hanging="0"/>
        <w:jc w:val="both"/>
        <w:rPr>
          <w:rFonts w:ascii="Garamond" w:hAnsi="Garamond" w:cs="Garamond"/>
          <w:sz w:val="16"/>
          <w:szCs w:val="16"/>
        </w:rPr>
      </w:pPr>
      <w:r>
        <w:rPr>
          <w:rFonts w:cs="Garamond" w:ascii="Garamond" w:hAnsi="Garamond"/>
          <w:sz w:val="16"/>
          <w:szCs w:val="16"/>
        </w:rPr>
      </w:r>
    </w:p>
    <w:tbl>
      <w:tblPr>
        <w:tblW w:w="8928" w:type="dxa"/>
        <w:jc w:val="start"/>
        <w:tblInd w:w="-108" w:type="dxa"/>
        <w:tblLayout w:type="fixed"/>
        <w:tblCellMar>
          <w:top w:w="0" w:type="dxa"/>
          <w:start w:w="108" w:type="dxa"/>
          <w:bottom w:w="0" w:type="dxa"/>
          <w:end w:w="108" w:type="dxa"/>
        </w:tblCellMar>
      </w:tblPr>
      <w:tblGrid>
        <w:gridCol w:w="3888"/>
        <w:gridCol w:w="5040"/>
      </w:tblGrid>
      <w:tr>
        <w:trPr/>
        <w:tc>
          <w:tcPr>
            <w:tcW w:w="3888" w:type="dxa"/>
            <w:tcBorders/>
          </w:tcPr>
          <w:p>
            <w:pPr>
              <w:pStyle w:val="Normal"/>
              <w:autoSpaceDE w:val="false"/>
              <w:ind w:end="-31" w:hanging="0"/>
              <w:jc w:val="center"/>
              <w:rPr>
                <w:rFonts w:ascii="Garamond" w:hAnsi="Garamond" w:cs="Garamond"/>
                <w:sz w:val="24"/>
                <w:szCs w:val="24"/>
              </w:rPr>
            </w:pPr>
            <w:r>
              <w:rPr>
                <w:rFonts w:cs="Garamond" w:ascii="Garamond" w:hAnsi="Garamond"/>
                <w:sz w:val="24"/>
                <w:szCs w:val="24"/>
              </w:rPr>
              <w:drawing>
                <wp:inline distT="0" distB="0" distL="0" distR="0">
                  <wp:extent cx="2464435" cy="3716020"/>
                  <wp:effectExtent l="0" t="0" r="0" b="0"/>
                  <wp:docPr id="8"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5" descr="" title=""/>
                          <pic:cNvPicPr>
                            <a:picLocks noChangeAspect="1" noChangeArrowheads="1"/>
                          </pic:cNvPicPr>
                        </pic:nvPicPr>
                        <pic:blipFill>
                          <a:blip r:embed="rId7"/>
                          <a:srcRect l="4656" t="-2808" r="4656" b="-1"/>
                          <a:stretch>
                            <a:fillRect/>
                          </a:stretch>
                        </pic:blipFill>
                        <pic:spPr bwMode="auto">
                          <a:xfrm>
                            <a:off x="0" y="0"/>
                            <a:ext cx="2464435" cy="3716020"/>
                          </a:xfrm>
                          <a:prstGeom prst="rect">
                            <a:avLst/>
                          </a:prstGeom>
                        </pic:spPr>
                      </pic:pic>
                    </a:graphicData>
                  </a:graphic>
                </wp:inline>
              </w:drawing>
            </w:r>
          </w:p>
          <w:p>
            <w:pPr>
              <w:pStyle w:val="Normal"/>
              <w:autoSpaceDE w:val="false"/>
              <w:ind w:end="-31" w:hanging="0"/>
              <w:jc w:val="center"/>
              <w:rPr>
                <w:rFonts w:ascii="Garamond" w:hAnsi="Garamond" w:cs="Garamond"/>
                <w:sz w:val="24"/>
                <w:szCs w:val="24"/>
              </w:rPr>
            </w:pPr>
            <w:r>
              <w:rPr>
                <w:rFonts w:cs="Garamond" w:ascii="Garamond" w:hAnsi="Garamond"/>
                <w:i/>
                <w:sz w:val="22"/>
                <w:szCs w:val="22"/>
              </w:rPr>
              <w:t>Илл. 4.</w:t>
            </w:r>
            <w:r>
              <w:rPr>
                <w:rFonts w:cs="Garamond" w:ascii="Garamond" w:hAnsi="Garamond"/>
                <w:sz w:val="22"/>
                <w:szCs w:val="22"/>
              </w:rPr>
              <w:t xml:space="preserve"> Вади Каш: сцена охоты с лодками, гиппопотамом и крокодилами (по: [</w:t>
            </w:r>
            <w:r>
              <w:rPr>
                <w:rFonts w:cs="Garamond" w:ascii="Garamond" w:hAnsi="Garamond"/>
                <w:sz w:val="22"/>
                <w:szCs w:val="22"/>
                <w:lang w:val="en-US"/>
              </w:rPr>
              <w:t>Winkler</w:t>
            </w:r>
            <w:r>
              <w:rPr>
                <w:rFonts w:cs="Garamond" w:ascii="Garamond" w:hAnsi="Garamond"/>
                <w:sz w:val="22"/>
                <w:szCs w:val="22"/>
              </w:rPr>
              <w:t xml:space="preserve">, 1938–1939, </w:t>
            </w:r>
            <w:r>
              <w:rPr>
                <w:rFonts w:cs="Garamond" w:ascii="Garamond" w:hAnsi="Garamond"/>
                <w:sz w:val="22"/>
                <w:szCs w:val="22"/>
                <w:lang w:val="en-US"/>
              </w:rPr>
              <w:t>pt</w:t>
            </w:r>
            <w:r>
              <w:rPr>
                <w:rFonts w:cs="Garamond" w:ascii="Garamond" w:hAnsi="Garamond"/>
                <w:sz w:val="22"/>
                <w:szCs w:val="22"/>
              </w:rPr>
              <w:t xml:space="preserve">. 1, </w:t>
            </w:r>
            <w:r>
              <w:rPr>
                <w:rFonts w:cs="Garamond" w:ascii="Garamond" w:hAnsi="Garamond"/>
                <w:sz w:val="22"/>
                <w:szCs w:val="22"/>
                <w:lang w:val="en-US"/>
              </w:rPr>
              <w:t>pl</w:t>
            </w:r>
            <w:r>
              <w:rPr>
                <w:rFonts w:cs="Garamond" w:ascii="Garamond" w:hAnsi="Garamond"/>
                <w:sz w:val="22"/>
                <w:szCs w:val="22"/>
              </w:rPr>
              <w:t>. </w:t>
            </w:r>
            <w:r>
              <w:rPr>
                <w:rFonts w:cs="Garamond" w:ascii="Garamond" w:hAnsi="Garamond"/>
                <w:sz w:val="22"/>
                <w:szCs w:val="22"/>
                <w:lang w:val="en-US"/>
              </w:rPr>
              <w:t>XIV</w:t>
            </w:r>
            <w:r>
              <w:rPr>
                <w:rFonts w:cs="Garamond" w:ascii="Garamond" w:hAnsi="Garamond"/>
                <w:sz w:val="22"/>
                <w:szCs w:val="22"/>
              </w:rPr>
              <w:t>])</w:t>
            </w:r>
          </w:p>
        </w:tc>
        <w:tc>
          <w:tcPr>
            <w:tcW w:w="5040" w:type="dxa"/>
            <w:tcBorders/>
          </w:tcPr>
          <w:p>
            <w:pPr>
              <w:pStyle w:val="Normal"/>
              <w:autoSpaceDE w:val="false"/>
              <w:ind w:end="-31" w:hanging="0"/>
              <w:jc w:val="center"/>
              <w:rPr>
                <w:rFonts w:ascii="Garamond" w:hAnsi="Garamond" w:cs="Garamond"/>
                <w:sz w:val="24"/>
                <w:szCs w:val="24"/>
              </w:rPr>
            </w:pPr>
            <w:r>
              <w:rPr>
                <w:rFonts w:cs="Garamond" w:ascii="Garamond" w:hAnsi="Garamond"/>
                <w:sz w:val="24"/>
                <w:szCs w:val="24"/>
              </w:rPr>
              <w:drawing>
                <wp:inline distT="0" distB="0" distL="0" distR="0">
                  <wp:extent cx="3113405" cy="1196340"/>
                  <wp:effectExtent l="0" t="0" r="0" b="0"/>
                  <wp:docPr id="9" name="Изображение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6" descr="" title=""/>
                          <pic:cNvPicPr>
                            <a:picLocks noChangeAspect="1" noChangeArrowheads="1"/>
                          </pic:cNvPicPr>
                        </pic:nvPicPr>
                        <pic:blipFill>
                          <a:blip r:embed="rId8"/>
                          <a:srcRect l="-10" t="-25" r="-10" b="-25"/>
                          <a:stretch>
                            <a:fillRect/>
                          </a:stretch>
                        </pic:blipFill>
                        <pic:spPr bwMode="auto">
                          <a:xfrm>
                            <a:off x="0" y="0"/>
                            <a:ext cx="3113405" cy="1196340"/>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5.</w:t>
            </w:r>
            <w:r>
              <w:rPr>
                <w:rFonts w:cs="Garamond" w:ascii="Garamond" w:hAnsi="Garamond"/>
                <w:sz w:val="22"/>
                <w:szCs w:val="22"/>
              </w:rPr>
              <w:t xml:space="preserve"> Вади Баррамийа: «корова, волочимая в лодке»</w:t>
            </w:r>
          </w:p>
          <w:p>
            <w:pPr>
              <w:pStyle w:val="Normal"/>
              <w:autoSpaceDE w:val="false"/>
              <w:ind w:end="-31" w:hanging="0"/>
              <w:jc w:val="center"/>
              <w:rPr>
                <w:rFonts w:ascii="Garamond" w:hAnsi="Garamond" w:cs="Garamond"/>
                <w:sz w:val="24"/>
                <w:szCs w:val="24"/>
              </w:rPr>
            </w:pPr>
            <w:r>
              <w:rPr>
                <w:rFonts w:cs="Garamond" w:ascii="Garamond" w:hAnsi="Garamond"/>
                <w:sz w:val="22"/>
                <w:szCs w:val="22"/>
              </w:rPr>
              <w:t>(по: [</w:t>
            </w:r>
            <w:r>
              <w:rPr>
                <w:rFonts w:cs="Garamond" w:ascii="Garamond" w:hAnsi="Garamond"/>
                <w:sz w:val="22"/>
                <w:szCs w:val="22"/>
                <w:lang w:val="en-US"/>
              </w:rPr>
              <w:t>Wilkinson</w:t>
            </w:r>
            <w:r>
              <w:rPr>
                <w:rFonts w:cs="Garamond" w:ascii="Garamond" w:hAnsi="Garamond"/>
                <w:sz w:val="22"/>
                <w:szCs w:val="22"/>
              </w:rPr>
              <w:t xml:space="preserve">, 2003, </w:t>
            </w:r>
            <w:r>
              <w:rPr>
                <w:rFonts w:cs="Garamond" w:ascii="Garamond" w:hAnsi="Garamond"/>
                <w:sz w:val="22"/>
                <w:szCs w:val="22"/>
                <w:lang w:val="en-US"/>
              </w:rPr>
              <w:t>fig</w:t>
            </w:r>
            <w:r>
              <w:rPr>
                <w:rFonts w:cs="Garamond" w:ascii="Garamond" w:hAnsi="Garamond"/>
                <w:sz w:val="22"/>
                <w:szCs w:val="22"/>
              </w:rPr>
              <w:t>. 52])</w:t>
            </w:r>
          </w:p>
          <w:p>
            <w:pPr>
              <w:pStyle w:val="Normal"/>
              <w:autoSpaceDE w:val="false"/>
              <w:ind w:end="-31" w:hanging="0"/>
              <w:jc w:val="center"/>
              <w:rPr>
                <w:rFonts w:ascii="Garamond" w:hAnsi="Garamond" w:cs="Garamond"/>
                <w:sz w:val="16"/>
                <w:szCs w:val="16"/>
              </w:rPr>
            </w:pPr>
            <w:r>
              <w:rPr>
                <w:rFonts w:cs="Garamond" w:ascii="Garamond" w:hAnsi="Garamond"/>
                <w:sz w:val="16"/>
                <w:szCs w:val="16"/>
              </w:rPr>
            </w:r>
          </w:p>
          <w:p>
            <w:pPr>
              <w:pStyle w:val="Normal"/>
              <w:autoSpaceDE w:val="false"/>
              <w:ind w:end="-31" w:hanging="0"/>
              <w:jc w:val="center"/>
              <w:rPr>
                <w:rFonts w:ascii="Garamond" w:hAnsi="Garamond" w:cs="Garamond"/>
                <w:sz w:val="24"/>
                <w:szCs w:val="24"/>
              </w:rPr>
            </w:pPr>
            <w:r>
              <w:rPr>
                <w:rFonts w:cs="Garamond" w:ascii="Garamond" w:hAnsi="Garamond"/>
                <w:sz w:val="24"/>
                <w:szCs w:val="24"/>
              </w:rPr>
              <w:drawing>
                <wp:inline distT="0" distB="0" distL="0" distR="0">
                  <wp:extent cx="3114675" cy="2259330"/>
                  <wp:effectExtent l="0" t="0" r="0" b="0"/>
                  <wp:docPr id="10" name="Изображение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7" descr="" title=""/>
                          <pic:cNvPicPr>
                            <a:picLocks noChangeAspect="1" noChangeArrowheads="1"/>
                          </pic:cNvPicPr>
                        </pic:nvPicPr>
                        <pic:blipFill>
                          <a:blip r:embed="rId9"/>
                          <a:srcRect l="-1" t="-2" r="-1" b="-2"/>
                          <a:stretch>
                            <a:fillRect/>
                          </a:stretch>
                        </pic:blipFill>
                        <pic:spPr bwMode="auto">
                          <a:xfrm>
                            <a:off x="0" y="0"/>
                            <a:ext cx="3114675" cy="2259330"/>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6.</w:t>
            </w:r>
            <w:r>
              <w:rPr>
                <w:rFonts w:cs="Garamond" w:ascii="Garamond" w:hAnsi="Garamond"/>
                <w:sz w:val="22"/>
                <w:szCs w:val="22"/>
              </w:rPr>
              <w:t xml:space="preserve"> Петроглифы Наг эль-Хамдулаб</w:t>
            </w:r>
          </w:p>
          <w:p>
            <w:pPr>
              <w:pStyle w:val="Normal"/>
              <w:autoSpaceDE w:val="false"/>
              <w:ind w:end="-31" w:hanging="0"/>
              <w:jc w:val="center"/>
              <w:rPr>
                <w:rFonts w:ascii="Garamond" w:hAnsi="Garamond" w:cs="Garamond"/>
                <w:sz w:val="24"/>
                <w:szCs w:val="24"/>
              </w:rPr>
            </w:pPr>
            <w:r>
              <w:rPr>
                <w:rFonts w:cs="Garamond" w:ascii="Garamond" w:hAnsi="Garamond"/>
                <w:sz w:val="22"/>
                <w:szCs w:val="22"/>
              </w:rPr>
              <w:t>(по: [</w:t>
            </w:r>
            <w:r>
              <w:rPr>
                <w:rFonts w:cs="Garamond" w:ascii="Garamond" w:hAnsi="Garamond"/>
                <w:sz w:val="22"/>
                <w:szCs w:val="22"/>
                <w:lang w:val="en-US"/>
              </w:rPr>
              <w:t>Hendrickx</w:t>
            </w:r>
            <w:r>
              <w:rPr>
                <w:rFonts w:cs="Garamond" w:ascii="Garamond" w:hAnsi="Garamond"/>
                <w:sz w:val="22"/>
                <w:szCs w:val="22"/>
              </w:rPr>
              <w:t xml:space="preserve"> </w:t>
            </w:r>
            <w:r>
              <w:rPr>
                <w:rFonts w:cs="Garamond" w:ascii="Garamond" w:hAnsi="Garamond"/>
                <w:sz w:val="22"/>
                <w:szCs w:val="22"/>
                <w:lang w:val="en-US"/>
              </w:rPr>
              <w:t>et</w:t>
            </w:r>
            <w:r>
              <w:rPr>
                <w:rFonts w:cs="Garamond" w:ascii="Garamond" w:hAnsi="Garamond"/>
                <w:sz w:val="22"/>
                <w:szCs w:val="22"/>
              </w:rPr>
              <w:t xml:space="preserve"> </w:t>
            </w:r>
            <w:r>
              <w:rPr>
                <w:rFonts w:cs="Garamond" w:ascii="Garamond" w:hAnsi="Garamond"/>
                <w:sz w:val="22"/>
                <w:szCs w:val="22"/>
                <w:lang w:val="en-US"/>
              </w:rPr>
              <w:t>al</w:t>
            </w:r>
            <w:r>
              <w:rPr>
                <w:rFonts w:cs="Garamond" w:ascii="Garamond" w:hAnsi="Garamond"/>
                <w:sz w:val="22"/>
                <w:szCs w:val="22"/>
              </w:rPr>
              <w:t xml:space="preserve">., 2012, </w:t>
            </w:r>
            <w:r>
              <w:rPr>
                <w:rFonts w:cs="Garamond" w:ascii="Garamond" w:hAnsi="Garamond"/>
                <w:sz w:val="22"/>
                <w:szCs w:val="22"/>
                <w:lang w:val="en-US"/>
              </w:rPr>
              <w:t>fig</w:t>
            </w:r>
            <w:r>
              <w:rPr>
                <w:rFonts w:cs="Garamond" w:ascii="Garamond" w:hAnsi="Garamond"/>
                <w:sz w:val="22"/>
                <w:szCs w:val="22"/>
              </w:rPr>
              <w:t>. 1])</w:t>
            </w:r>
          </w:p>
        </w:tc>
      </w:tr>
    </w:tbl>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firstLine="720"/>
        <w:jc w:val="both"/>
        <w:rPr/>
      </w:pPr>
      <w:r>
        <w:rPr>
          <w:rFonts w:cs="Garamond" w:ascii="Garamond" w:hAnsi="Garamond"/>
          <w:sz w:val="24"/>
          <w:szCs w:val="24"/>
        </w:rPr>
        <w:t>В контексте такой природной картины тем парадоксальнее, что тот же Ф. Ланкестер, оперировавший информацией о «более влажном» климате Египта «около 8500–4300 некалибр. л. н.» (≈7560–2900 гг. до н.</w:t>
      </w:r>
      <w:r>
        <w:rPr>
          <w:rFonts w:cs="Garamond" w:ascii="Garamond" w:hAnsi="Garamond"/>
          <w:sz w:val="24"/>
          <w:szCs w:val="24"/>
          <w:lang w:val="en-US"/>
        </w:rPr>
        <w:t> </w:t>
      </w:r>
      <w:r>
        <w:rPr>
          <w:rFonts w:cs="Garamond" w:ascii="Garamond" w:hAnsi="Garamond"/>
          <w:sz w:val="24"/>
          <w:szCs w:val="24"/>
        </w:rPr>
        <w:t>э.), признавая очевидность отражения непосредственной энвайронментальной действительности в стране рядом доисторических петроглифов фауны, отказывал даже в ничтожной возможности этого синхронным «интригующим» рисункам лодок, которым он, подобно своим предшественникам, отрицавшим «цивилизующее» вторжение на Нил с Красного моря «новой расы Флиндерса Питри», был склонен приписывать «во многом иное назначение», а по сути, пресловутый сверхъестественный смысл [</w:t>
      </w:r>
      <w:r>
        <w:rPr>
          <w:rFonts w:cs="Garamond" w:ascii="Garamond" w:hAnsi="Garamond"/>
          <w:sz w:val="24"/>
          <w:szCs w:val="24"/>
          <w:lang w:val="en-US"/>
        </w:rPr>
        <w:t>Lankester</w:t>
      </w:r>
      <w:r>
        <w:rPr>
          <w:rFonts w:cs="Garamond" w:ascii="Garamond" w:hAnsi="Garamond"/>
          <w:sz w:val="24"/>
          <w:szCs w:val="24"/>
        </w:rPr>
        <w:t>, 2012]. Нескрываемая крайняя обескураженность исследователей-первопроходцев древнейшим феноменом множества «экзотических» ладей, вырезанных на скалах «посреди иссохшей пустыни», передалась их преемникам-«антидиффузионистам» настолько, что те и при сегодняшней массе и доступности релевантных палеогеографических данных не пытаются хотя бы гипотетически привязать его к климатическому и гидрологическому режиму додинастического Египта, а по-прежнему предпочитают любые доводы в пользу нереалистичности «подавляющего большинства» наскальных лодочных изображений за пределами долины Нила. Аргументов немало: эти «ранние лодки» ни предметно, ни абстрактно не ассоциируются с такими будничными занятиями на реках, как рыбная ловля, охота, переправа, транспорт, торговля и т. п.; их конструктивно-функциональный тип едва распознаваем из-за «поразительно» бедной технической детализации рисунков, якобы свидетельствующей об отсутствии у первобытноегипетской петроглифики интереса к достоверной (или просто какой-либо) передаче, например, положенных им силовых приспособлений, поскольку и гребное, и рулевое весло на них встречаются довольно редко, не говоря уже о мачте, а парус до периода Нагада </w:t>
      </w:r>
      <w:r>
        <w:rPr>
          <w:rFonts w:cs="Garamond" w:ascii="Garamond" w:hAnsi="Garamond"/>
          <w:sz w:val="24"/>
          <w:szCs w:val="24"/>
          <w:lang w:val="en-US"/>
        </w:rPr>
        <w:t>III</w:t>
      </w:r>
      <w:r>
        <w:rPr>
          <w:rFonts w:cs="Garamond" w:ascii="Garamond" w:hAnsi="Garamond"/>
          <w:sz w:val="24"/>
          <w:szCs w:val="24"/>
        </w:rPr>
        <w:t xml:space="preserve"> совсем не замечен (да и тогда представляет собой уникальное изобразительное явление [</w:t>
      </w:r>
      <w:r>
        <w:rPr>
          <w:rFonts w:cs="Garamond" w:ascii="Garamond" w:hAnsi="Garamond"/>
          <w:sz w:val="24"/>
          <w:szCs w:val="24"/>
          <w:lang w:val="en-US"/>
        </w:rPr>
        <w:t>Vinson</w:t>
      </w:r>
      <w:r>
        <w:rPr>
          <w:rFonts w:cs="Garamond" w:ascii="Garamond" w:hAnsi="Garamond"/>
          <w:sz w:val="24"/>
          <w:szCs w:val="24"/>
        </w:rPr>
        <w:t>, 1994]); в Египте пока не известен ни один доисторический петроглиф ладьи с разборчивыми фигурами работающих гребцов; даже схематически, вертикальными штрихами, вычерчивавшиеся на борту судовые команды наблюдаются здесь в ограниченном количестве, в итоге три четверти дофараоновских петроглифических лодок, зафиксированных исследователями на скалах верхнеегипетских вади, «движутся сами по себе», т. е. необорудованные и пустые. «Что действительно имеет значение — это лодка как таковая, часто выполненная в виде одного лишь корпуса» [</w:t>
      </w:r>
      <w:r>
        <w:rPr>
          <w:rFonts w:cs="Garamond" w:ascii="Garamond" w:hAnsi="Garamond"/>
          <w:sz w:val="24"/>
          <w:szCs w:val="24"/>
          <w:lang w:val="en-US"/>
        </w:rPr>
        <w:t>Lankester</w:t>
      </w:r>
      <w:r>
        <w:rPr>
          <w:rFonts w:cs="Garamond" w:ascii="Garamond" w:hAnsi="Garamond"/>
          <w:sz w:val="24"/>
          <w:szCs w:val="24"/>
        </w:rPr>
        <w:t>, 2012; 2013].</w:t>
      </w:r>
    </w:p>
    <w:p>
      <w:pPr>
        <w:pStyle w:val="Normal"/>
        <w:autoSpaceDE w:val="false"/>
        <w:ind w:end="-31" w:firstLine="720"/>
        <w:jc w:val="both"/>
        <w:rPr/>
      </w:pPr>
      <w:r>
        <w:rPr>
          <w:rFonts w:cs="Garamond" w:ascii="Garamond" w:hAnsi="Garamond"/>
          <w:sz w:val="24"/>
          <w:szCs w:val="24"/>
        </w:rPr>
        <w:t xml:space="preserve">С другой стороны, в этих графически лаконичных корпусах, кажущихся археологу-теоретику игрой воображения или фантомами примитивного сознания их вырезчиков, инженер-кораблестроитель может усмотреть </w:t>
      </w:r>
      <w:r>
        <w:rPr>
          <w:rFonts w:cs="Garamond" w:ascii="Garamond" w:hAnsi="Garamond"/>
          <w:i/>
          <w:sz w:val="24"/>
          <w:szCs w:val="24"/>
        </w:rPr>
        <w:t>аутентичные профили</w:t>
      </w:r>
      <w:r>
        <w:rPr>
          <w:rFonts w:cs="Garamond" w:ascii="Garamond" w:hAnsi="Garamond"/>
          <w:sz w:val="24"/>
          <w:szCs w:val="24"/>
        </w:rPr>
        <w:t xml:space="preserve"> производившихся на древнем Ниле плавсредств, разделенных еще Х. Винклером на «серповидные» и «прямоугольные», между которыми пролегает принципиальная грань, отличающая сравнительно неустойчивые и недолговечные на волнах низкобортные речные плоскодонки от «штевневых» конструкций, способных уверенно ходить по широкой и бурной воде морей или крупных озер [Прусаков, 2015]. При намерении квалифицированного рисовальщика правдиво и наглядно отобразить именно эту «судомодельную» разницу, вышеназванные и прочие детали ладейной экипировки и декора были бы если не излишни, то и не обязательны; вместе с тем, как мы помним, о совершенном отказе от них в данном случае речи не идет: на отдельных петроглифах у лодок обоих конструктивных типов есть и весла, и рули, и надстройки-«каюты», и подобия мачт, что придает таким «неканоническим» изображениям дополнительную жизненность. Кроме того, вряд ли приходится отрицать связь судов петроглифического комплекса с повседневной промысловой деятельностью в бассейне Реки: давно засвидетельствована их прямая близость к сценам «преследования» гиппопотамов и крокодилов (Вади Каш) [</w:t>
      </w:r>
      <w:r>
        <w:rPr>
          <w:rFonts w:cs="Garamond" w:ascii="Garamond" w:hAnsi="Garamond"/>
          <w:sz w:val="24"/>
          <w:szCs w:val="24"/>
          <w:lang w:val="en-US"/>
        </w:rPr>
        <w:t>Winkler</w:t>
      </w:r>
      <w:r>
        <w:rPr>
          <w:rFonts w:cs="Garamond" w:ascii="Garamond" w:hAnsi="Garamond"/>
          <w:sz w:val="24"/>
          <w:szCs w:val="24"/>
        </w:rPr>
        <w:t>, 1938–1939] (</w:t>
      </w:r>
      <w:r>
        <w:rPr>
          <w:rFonts w:cs="Garamond" w:ascii="Garamond" w:hAnsi="Garamond"/>
          <w:i/>
          <w:sz w:val="24"/>
          <w:szCs w:val="24"/>
        </w:rPr>
        <w:t>илл. 4</w:t>
      </w:r>
      <w:r>
        <w:rPr>
          <w:rFonts w:cs="Garamond" w:ascii="Garamond" w:hAnsi="Garamond"/>
          <w:sz w:val="24"/>
          <w:szCs w:val="24"/>
        </w:rPr>
        <w:t>) — «вид охоты, обычно осуществлявшийся с лодок» [</w:t>
      </w:r>
      <w:r>
        <w:rPr>
          <w:rFonts w:cs="Garamond" w:ascii="Garamond" w:hAnsi="Garamond"/>
          <w:sz w:val="24"/>
          <w:szCs w:val="24"/>
          <w:lang w:val="en-US"/>
        </w:rPr>
        <w:t>Midant</w:t>
      </w:r>
      <w:r>
        <w:rPr>
          <w:rFonts w:cs="Garamond" w:ascii="Garamond" w:hAnsi="Garamond"/>
          <w:sz w:val="24"/>
          <w:szCs w:val="24"/>
        </w:rPr>
        <w:t>-</w:t>
      </w:r>
      <w:r>
        <w:rPr>
          <w:rFonts w:cs="Garamond" w:ascii="Garamond" w:hAnsi="Garamond"/>
          <w:sz w:val="24"/>
          <w:szCs w:val="24"/>
          <w:lang w:val="en-US"/>
        </w:rPr>
        <w:t>Reynes</w:t>
      </w:r>
      <w:r>
        <w:rPr>
          <w:rFonts w:cs="Garamond" w:ascii="Garamond" w:hAnsi="Garamond"/>
          <w:sz w:val="24"/>
          <w:szCs w:val="24"/>
        </w:rPr>
        <w:t>, 2000], что подтверждают бытовые рыболовно-охотничьи сюжеты с истреблением как одних, так и других в художественном оформлении гробниц времен фараонов (</w:t>
      </w:r>
      <w:r>
        <w:rPr>
          <w:rFonts w:cs="Garamond" w:ascii="Garamond" w:hAnsi="Garamond"/>
          <w:sz w:val="24"/>
          <w:szCs w:val="24"/>
          <w:lang w:val="en-US"/>
        </w:rPr>
        <w:t>c</w:t>
      </w:r>
      <w:r>
        <w:rPr>
          <w:rFonts w:cs="Garamond" w:ascii="Garamond" w:hAnsi="Garamond"/>
          <w:sz w:val="24"/>
          <w:szCs w:val="24"/>
        </w:rPr>
        <w:t>м., например: [</w:t>
      </w:r>
      <w:r>
        <w:rPr>
          <w:rFonts w:cs="Garamond" w:ascii="Garamond" w:hAnsi="Garamond"/>
          <w:sz w:val="24"/>
          <w:szCs w:val="24"/>
          <w:lang w:val="en-US"/>
        </w:rPr>
        <w:t>Wild</w:t>
      </w:r>
      <w:r>
        <w:rPr>
          <w:rFonts w:cs="Garamond" w:ascii="Garamond" w:hAnsi="Garamond"/>
          <w:sz w:val="24"/>
          <w:szCs w:val="24"/>
        </w:rPr>
        <w:t>, 1953]) и характерные для древнеегипетской иконографии храмовые картины гарпунирования стоящим в ладье соколом-Хором Сета в облике этих опаснейших полуводных (</w:t>
      </w:r>
      <w:r>
        <w:rPr>
          <w:rFonts w:cs="Garamond" w:ascii="Garamond" w:hAnsi="Garamond"/>
          <w:sz w:val="24"/>
          <w:szCs w:val="24"/>
          <w:lang w:val="en-US"/>
        </w:rPr>
        <w:t>c</w:t>
      </w:r>
      <w:r>
        <w:rPr>
          <w:rFonts w:cs="Garamond" w:ascii="Garamond" w:hAnsi="Garamond"/>
          <w:sz w:val="24"/>
          <w:szCs w:val="24"/>
        </w:rPr>
        <w:t>м., например: [</w:t>
      </w:r>
      <w:r>
        <w:rPr>
          <w:rFonts w:cs="Garamond" w:ascii="Garamond" w:hAnsi="Garamond"/>
          <w:sz w:val="24"/>
          <w:szCs w:val="24"/>
          <w:lang w:val="en-US"/>
        </w:rPr>
        <w:t>Chassinat</w:t>
      </w:r>
      <w:r>
        <w:rPr>
          <w:rFonts w:cs="Garamond" w:ascii="Garamond" w:hAnsi="Garamond"/>
          <w:sz w:val="24"/>
          <w:szCs w:val="24"/>
        </w:rPr>
        <w:t>, 1934]). В равной мере неосторожно заключать, что те же лодки не были ни транспортами, ни паромами, с учетом помещавшихся на них вышеупомянутых команд, насчитывавших иногда десятки «штрихов», и животных вроде быка или коровы в волочимой бурлаками ладье на петроглифе из Вади Баррамийа [</w:t>
      </w:r>
      <w:r>
        <w:rPr>
          <w:rFonts w:cs="Garamond" w:ascii="Garamond" w:hAnsi="Garamond"/>
          <w:sz w:val="24"/>
          <w:szCs w:val="24"/>
          <w:lang w:val="en-US"/>
        </w:rPr>
        <w:t>Wilkinson</w:t>
      </w:r>
      <w:r>
        <w:rPr>
          <w:rFonts w:cs="Garamond" w:ascii="Garamond" w:hAnsi="Garamond"/>
          <w:sz w:val="24"/>
          <w:szCs w:val="24"/>
        </w:rPr>
        <w:t>, 2003] (</w:t>
      </w:r>
      <w:r>
        <w:rPr>
          <w:rFonts w:cs="Garamond" w:ascii="Garamond" w:hAnsi="Garamond"/>
          <w:i/>
          <w:sz w:val="24"/>
          <w:szCs w:val="24"/>
        </w:rPr>
        <w:t>илл. 5</w:t>
      </w:r>
      <w:r>
        <w:rPr>
          <w:rFonts w:cs="Garamond" w:ascii="Garamond" w:hAnsi="Garamond"/>
          <w:sz w:val="24"/>
          <w:szCs w:val="24"/>
        </w:rPr>
        <w:t>); такие животные могли быть не только «символами-тотемами» — предтечами египетского пантеона в его зооморфной наружности и сакрально-канонизированной изобразительности (ср., например, с коровой-Хатхор в переносной ритуальной барке на рельефе из заупокойного храма Хатшепсут в Дейр эль-Бахри [</w:t>
      </w:r>
      <w:r>
        <w:rPr>
          <w:rFonts w:cs="Garamond" w:ascii="Garamond" w:hAnsi="Garamond"/>
          <w:sz w:val="24"/>
          <w:szCs w:val="24"/>
          <w:lang w:val="en-US"/>
        </w:rPr>
        <w:t>Naville</w:t>
      </w:r>
      <w:r>
        <w:rPr>
          <w:rFonts w:cs="Garamond" w:ascii="Garamond" w:hAnsi="Garamond"/>
          <w:sz w:val="24"/>
          <w:szCs w:val="24"/>
        </w:rPr>
        <w:t>, 1901])</w:t>
      </w:r>
      <w:r>
        <w:rPr>
          <w:rFonts w:cs="Garamond" w:ascii="Garamond" w:hAnsi="Garamond"/>
          <w:sz w:val="24"/>
          <w:szCs w:val="24"/>
        </w:rPr>
        <w:t>, но и живыми организмами, доставляемыми речными путями, предположим, на лучшие пажити, как это практиковалось в Обеих Землях фараонов, где скот преуспевающих домохозяйств в рутинном порядке перевозился Нилом из преимущественно землепашеской, небогатой выпасами Долины в тучные угодья («низовые топи») Дельты [Перепелкин, 1988]. И уже совсем рискованно делать вывод о «в любом случае невозможных сочетаниях животных, людей и лодок посреди пустыни» [</w:t>
      </w:r>
      <w:r>
        <w:rPr>
          <w:rFonts w:cs="Garamond" w:ascii="Garamond" w:hAnsi="Garamond"/>
          <w:sz w:val="24"/>
          <w:szCs w:val="24"/>
          <w:lang w:val="en-US"/>
        </w:rPr>
        <w:t>Lankester</w:t>
      </w:r>
      <w:r>
        <w:rPr>
          <w:rFonts w:cs="Garamond" w:ascii="Garamond" w:hAnsi="Garamond"/>
          <w:sz w:val="24"/>
          <w:szCs w:val="24"/>
        </w:rPr>
        <w:t xml:space="preserve">, 2012], если элементарными трудовыми подразделениями в административно-хозяйственном укладе охваченного аридизацией Египта Старого царства (по-видимому, уходившими корнями в гумидную додинастику с зеленым покровом на месте сегодняшней Сахары и полноводнейшим Нилом [Прусаков, </w:t>
      </w:r>
      <w:r>
        <w:rPr>
          <w:rFonts w:cs="Garamond" w:ascii="Garamond" w:hAnsi="Garamond"/>
          <w:iCs/>
          <w:sz w:val="24"/>
          <w:szCs w:val="24"/>
        </w:rPr>
        <w:t>2001б</w:t>
      </w:r>
      <w:r>
        <w:rPr>
          <w:rFonts w:cs="Garamond" w:ascii="Garamond" w:hAnsi="Garamond"/>
          <w:sz w:val="24"/>
          <w:szCs w:val="24"/>
        </w:rPr>
        <w:t>]) являлись «корабельные ватаги», включавшие «доставщиков степных копытных», профессионально владевших арканом, и, в их числе, «провожатых» начальствующего вельможи — «обычных участников охот» [Перепелкин, 1988]. Разве невозможно было для такой «ватаги» доисторической эпохи подняться в ладье по нильскому притоку или заливу в вади с целью поохотиться в окружавших Реку саваннах и попутно запечатлеть предприятие (себя, лодку, преследуемых животных) на приглянувшейся поблизости скале?</w:t>
      </w:r>
    </w:p>
    <w:p>
      <w:pPr>
        <w:pStyle w:val="Normal"/>
        <w:autoSpaceDE w:val="false"/>
        <w:ind w:end="-31" w:firstLine="720"/>
        <w:jc w:val="both"/>
        <w:rPr/>
      </w:pPr>
      <w:r>
        <w:rPr>
          <w:rFonts w:cs="Garamond" w:ascii="Garamond" w:hAnsi="Garamond"/>
          <w:sz w:val="24"/>
          <w:szCs w:val="24"/>
        </w:rPr>
        <w:t xml:space="preserve">Современная сложная речная система Нила с ее «великими» озерами, основными магистралями, бесчисленными притоками и водосбором в одну десятую площади африканского континента образовалась в результате длительной гео- и гидрологической эволюции продолжительностью не менее 5–6 миллионов лет (см.: [Прусаков, 2019в; 2020а]), причем нынешняя конфигурация, в частности, Главного Нила в Египте сформировалась лишь во второй половине </w:t>
      </w:r>
      <w:r>
        <w:rPr>
          <w:rFonts w:cs="Garamond" w:ascii="Garamond" w:hAnsi="Garamond"/>
          <w:sz w:val="24"/>
          <w:szCs w:val="24"/>
          <w:lang w:val="en-US"/>
        </w:rPr>
        <w:t>IV</w:t>
      </w:r>
      <w:r>
        <w:rPr>
          <w:rFonts w:cs="Garamond" w:ascii="Garamond" w:hAnsi="Garamond"/>
          <w:sz w:val="24"/>
          <w:szCs w:val="24"/>
        </w:rPr>
        <w:t> тыс. («около 3350 г.») до н. э. после так называемого «неолитического спада» Реки, резко понизившего ее водоносность и обнажившего «большие площади» ее русла [</w:t>
      </w:r>
      <w:r>
        <w:rPr>
          <w:rFonts w:cs="Garamond" w:ascii="Garamond" w:hAnsi="Garamond"/>
          <w:sz w:val="24"/>
          <w:szCs w:val="24"/>
          <w:lang w:val="en-US"/>
        </w:rPr>
        <w:t>de</w:t>
      </w:r>
      <w:r>
        <w:rPr>
          <w:rFonts w:cs="Garamond" w:ascii="Garamond" w:hAnsi="Garamond"/>
          <w:sz w:val="24"/>
          <w:szCs w:val="24"/>
        </w:rPr>
        <w:t xml:space="preserve"> </w:t>
      </w:r>
      <w:r>
        <w:rPr>
          <w:rFonts w:cs="Garamond" w:ascii="Garamond" w:hAnsi="Garamond"/>
          <w:sz w:val="24"/>
          <w:szCs w:val="24"/>
          <w:lang w:val="en-US"/>
        </w:rPr>
        <w:t>Heinzelin</w:t>
      </w:r>
      <w:r>
        <w:rPr>
          <w:rFonts w:cs="Garamond" w:ascii="Garamond" w:hAnsi="Garamond"/>
          <w:sz w:val="24"/>
          <w:szCs w:val="24"/>
        </w:rPr>
        <w:t>, 1968]. До этого природного катаклизма, произошедшего, по другим оценкам, около 4500 некалибр. л. н. ≈ 3221 г. до н. э. и синхронного зарождению древнеегипетского раннего государства, годовой объем нильского стока составлял 120–150 км</w:t>
      </w:r>
      <w:r>
        <w:rPr>
          <w:rFonts w:cs="Garamond" w:ascii="Garamond" w:hAnsi="Garamond"/>
          <w:sz w:val="24"/>
          <w:szCs w:val="24"/>
          <w:vertAlign w:val="superscript"/>
        </w:rPr>
        <w:t>3</w:t>
      </w:r>
      <w:r>
        <w:rPr>
          <w:rFonts w:cs="Garamond" w:ascii="Garamond" w:hAnsi="Garamond"/>
          <w:sz w:val="24"/>
          <w:szCs w:val="24"/>
        </w:rPr>
        <w:t xml:space="preserve"> против сегодняшних 85 км</w:t>
      </w:r>
      <w:r>
        <w:rPr>
          <w:rFonts w:cs="Garamond" w:ascii="Garamond" w:hAnsi="Garamond"/>
          <w:sz w:val="24"/>
          <w:szCs w:val="24"/>
          <w:vertAlign w:val="superscript"/>
        </w:rPr>
        <w:t>3</w:t>
      </w:r>
      <w:r>
        <w:rPr>
          <w:rFonts w:cs="Garamond" w:ascii="Garamond" w:hAnsi="Garamond"/>
          <w:sz w:val="24"/>
          <w:szCs w:val="24"/>
        </w:rPr>
        <w:t>, а речной уровень в разлив был выше на 8–15 м [</w:t>
      </w:r>
      <w:r>
        <w:rPr>
          <w:rFonts w:cs="Garamond" w:ascii="Garamond" w:hAnsi="Garamond"/>
          <w:sz w:val="24"/>
          <w:szCs w:val="24"/>
          <w:lang w:val="en-US"/>
        </w:rPr>
        <w:t>Fairbridge</w:t>
      </w:r>
      <w:r>
        <w:rPr>
          <w:rFonts w:cs="Garamond" w:ascii="Garamond" w:hAnsi="Garamond"/>
          <w:sz w:val="24"/>
          <w:szCs w:val="24"/>
        </w:rPr>
        <w:t xml:space="preserve">, 1976; </w:t>
      </w:r>
      <w:r>
        <w:rPr>
          <w:rFonts w:cs="Garamond" w:ascii="Garamond" w:hAnsi="Garamond"/>
          <w:sz w:val="24"/>
          <w:szCs w:val="24"/>
          <w:lang w:val="en-US"/>
        </w:rPr>
        <w:t>Williams</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2010]. Я допустил, что при такой полноводности Реки 1-й порог («Сиенский катаракт» [Прусаков, 2019а]), впоследствии выступивший над ее поверхностью из обмелевшего потока и «отделивший» Нижнюю Нубию от Верхнего Египта, был затоплен на всем своем 5-километровом протяжении между островами Филэ и Элефантина, а вади области Гарб Асуан у его подножия на левом берегу, известные петроглифами лодок и крокодилов до- и протодинастического периодов (Нагада </w:t>
      </w:r>
      <w:r>
        <w:rPr>
          <w:rFonts w:cs="Garamond" w:ascii="Garamond" w:hAnsi="Garamond"/>
          <w:sz w:val="24"/>
          <w:szCs w:val="24"/>
          <w:lang w:val="en-US"/>
        </w:rPr>
        <w:t>I</w:t>
      </w:r>
      <w:r>
        <w:rPr>
          <w:rFonts w:cs="Garamond" w:ascii="Garamond" w:hAnsi="Garamond"/>
          <w:sz w:val="24"/>
          <w:szCs w:val="24"/>
        </w:rPr>
        <w:t>–</w:t>
      </w:r>
      <w:r>
        <w:rPr>
          <w:rFonts w:cs="Garamond" w:ascii="Garamond" w:hAnsi="Garamond"/>
          <w:sz w:val="24"/>
          <w:szCs w:val="24"/>
          <w:lang w:val="en-US"/>
        </w:rPr>
        <w:t>III</w:t>
      </w:r>
      <w:r>
        <w:rPr>
          <w:rFonts w:cs="Garamond" w:ascii="Garamond" w:hAnsi="Garamond"/>
          <w:sz w:val="24"/>
          <w:szCs w:val="24"/>
        </w:rPr>
        <w:t>), представляли собой разветвленные речные заливы наподобие (пусть и гораздо короче) тех, которые имеются у Асуанского водохранилища, особенно в его правобережной средней части [Прусаков, 2020б]. Эти предполагаемые заливы, отходившие от Нила на несколько километров, могли быть удобными и безопасными естественными путями и гаванями для больших «прямоугольных» ладей, запечатленных на окрестных скалах Вади эль-Фарас, Наг эль-Хамдулаб и других местоположений [</w:t>
      </w:r>
      <w:r>
        <w:rPr>
          <w:rFonts w:cs="Garamond" w:ascii="Garamond" w:hAnsi="Garamond"/>
          <w:sz w:val="24"/>
          <w:szCs w:val="24"/>
          <w:lang w:val="en-US"/>
        </w:rPr>
        <w:t>Storemyr</w:t>
      </w:r>
      <w:r>
        <w:rPr>
          <w:rFonts w:cs="Garamond" w:ascii="Garamond" w:hAnsi="Garamond"/>
          <w:sz w:val="24"/>
          <w:szCs w:val="24"/>
        </w:rPr>
        <w:t xml:space="preserve">, 2009; </w:t>
      </w:r>
      <w:r>
        <w:rPr>
          <w:rFonts w:cs="Garamond" w:ascii="Garamond" w:hAnsi="Garamond"/>
          <w:sz w:val="24"/>
          <w:szCs w:val="24"/>
          <w:lang w:val="en-US"/>
        </w:rPr>
        <w:t>Hendrickx</w:t>
      </w:r>
      <w:r>
        <w:rPr>
          <w:rFonts w:cs="Garamond" w:ascii="Garamond" w:hAnsi="Garamond"/>
          <w:sz w:val="24"/>
          <w:szCs w:val="24"/>
        </w:rPr>
        <w:t xml:space="preserve">, </w:t>
      </w:r>
      <w:r>
        <w:rPr>
          <w:rFonts w:cs="Garamond" w:ascii="Garamond" w:hAnsi="Garamond"/>
          <w:sz w:val="24"/>
          <w:szCs w:val="24"/>
          <w:lang w:val="en-US"/>
        </w:rPr>
        <w:t>Darnell</w:t>
      </w:r>
      <w:r>
        <w:rPr>
          <w:rFonts w:cs="Garamond" w:ascii="Garamond" w:hAnsi="Garamond"/>
          <w:sz w:val="24"/>
          <w:szCs w:val="24"/>
        </w:rPr>
        <w:t xml:space="preserve">, </w:t>
      </w:r>
      <w:r>
        <w:rPr>
          <w:rFonts w:cs="Garamond" w:ascii="Garamond" w:hAnsi="Garamond"/>
          <w:sz w:val="24"/>
          <w:szCs w:val="24"/>
          <w:lang w:val="en-US"/>
        </w:rPr>
        <w:t>Gatto</w:t>
      </w:r>
      <w:r>
        <w:rPr>
          <w:rFonts w:cs="Garamond" w:ascii="Garamond" w:hAnsi="Garamond"/>
          <w:sz w:val="24"/>
          <w:szCs w:val="24"/>
        </w:rPr>
        <w:t xml:space="preserve">, 2012; </w:t>
      </w:r>
      <w:r>
        <w:rPr>
          <w:rFonts w:cs="Garamond" w:ascii="Garamond" w:hAnsi="Garamond"/>
          <w:sz w:val="24"/>
          <w:szCs w:val="24"/>
          <w:lang w:val="en-US"/>
        </w:rPr>
        <w:t>Darnell</w:t>
      </w:r>
      <w:r>
        <w:rPr>
          <w:rFonts w:cs="Garamond" w:ascii="Garamond" w:hAnsi="Garamond"/>
          <w:sz w:val="24"/>
          <w:szCs w:val="24"/>
        </w:rPr>
        <w:t>, 2015] (</w:t>
      </w:r>
      <w:r>
        <w:rPr>
          <w:rFonts w:cs="Garamond" w:ascii="Garamond" w:hAnsi="Garamond"/>
          <w:i/>
          <w:sz w:val="24"/>
          <w:szCs w:val="24"/>
        </w:rPr>
        <w:t>илл. 6</w:t>
      </w:r>
      <w:r>
        <w:rPr>
          <w:rFonts w:cs="Garamond" w:ascii="Garamond" w:hAnsi="Garamond"/>
          <w:sz w:val="24"/>
          <w:szCs w:val="24"/>
        </w:rPr>
        <w:t>). В случае петроглифических скоплений в отдаленных лабиринтах Вади Хаммамат и Вади Баррамийа, однако, привязать рисунки лодок к речным заливам нельзя даже гипотетически, ибо Нил не был способен образовывать 65–100-километровые фьорды. Если все же не отвергать априори вероятность того, что в период «неолитических дождей» лодки и там изображались вблизи воды, по которой они могли пройти (как того, что петроглифы крокодилов, гиппопотамов, жирафов и слонов в Восточной пустыне высекались непосредственно в местах обитания указанной фауны в тех же благоприятных для жизни в Сахаре климатических и гидрологических условиях среднего голоцена [Прусаков, 2019б]), то останется лишь признать в этой воде сезонные или постоянные нильские притоки.</w:t>
      </w:r>
    </w:p>
    <w:p>
      <w:pPr>
        <w:pStyle w:val="Normal"/>
        <w:autoSpaceDE w:val="false"/>
        <w:ind w:end="-31" w:firstLine="720"/>
        <w:jc w:val="both"/>
        <w:rPr>
          <w:rFonts w:ascii="Garamond" w:hAnsi="Garamond" w:cs="Garamond"/>
          <w:sz w:val="24"/>
          <w:szCs w:val="24"/>
          <w:shd w:fill="FFFFFF" w:val="clear"/>
        </w:rPr>
      </w:pPr>
      <w:r>
        <w:rPr>
          <w:rFonts w:cs="Garamond" w:ascii="Garamond" w:hAnsi="Garamond"/>
          <w:sz w:val="24"/>
          <w:szCs w:val="24"/>
        </w:rPr>
        <w:t>Высокая водоносность ранне- и среднеголоценового Главного Нила обеспечивалась обилием в его бассейне ливневых осадков и, как неизбежное следствие, многочисленностью впадавших в него ручьев и рек разной величины: тезис о тысячах «действующих» (имевших водный сток) вади по всему его течению в Судане и Египте для «африканского влажного периода» (около 10500–5500 калибр. л. н. [</w:t>
      </w:r>
      <w:r>
        <w:rPr>
          <w:rFonts w:cs="Garamond" w:ascii="Garamond" w:hAnsi="Garamond"/>
          <w:sz w:val="24"/>
          <w:szCs w:val="24"/>
          <w:lang w:val="en-US"/>
        </w:rPr>
        <w:t>Huang</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2008]) представляется вполне обоснованным [</w:t>
      </w:r>
      <w:r>
        <w:rPr>
          <w:rFonts w:cs="Garamond" w:ascii="Garamond" w:hAnsi="Garamond"/>
          <w:sz w:val="24"/>
          <w:szCs w:val="24"/>
          <w:lang w:val="en-US"/>
        </w:rPr>
        <w:t>Woodward</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xml:space="preserve">., 2015]. Мощнейшим являлся западный приток в Вади Ховар в Судане с устьем близ Старой Донголы между 4-ми и 3-ми нильскими порогами — так называемый Желтый Нил протяженностью более 1200 км, от которого еще в середине </w:t>
      </w:r>
      <w:r>
        <w:rPr>
          <w:rFonts w:cs="Garamond" w:ascii="Garamond" w:hAnsi="Garamond"/>
          <w:sz w:val="24"/>
          <w:szCs w:val="24"/>
          <w:lang w:val="en-US"/>
        </w:rPr>
        <w:t>III</w:t>
      </w:r>
      <w:r>
        <w:rPr>
          <w:rFonts w:cs="Garamond" w:ascii="Garamond" w:hAnsi="Garamond"/>
          <w:sz w:val="24"/>
          <w:szCs w:val="24"/>
        </w:rPr>
        <w:t> тыс. до н. э., в эпоху египетского Старого царства, сохранялась цепь глубоких, богатых рыбой озер [</w:t>
      </w:r>
      <w:r>
        <w:rPr>
          <w:rFonts w:cs="Garamond" w:ascii="Garamond" w:hAnsi="Garamond"/>
          <w:sz w:val="24"/>
          <w:szCs w:val="24"/>
          <w:lang w:val="en-US"/>
        </w:rPr>
        <w:t>Kr</w:t>
      </w:r>
      <w:r>
        <w:rPr>
          <w:rFonts w:cs="Garamond" w:ascii="Garamond" w:hAnsi="Garamond"/>
          <w:sz w:val="24"/>
          <w:szCs w:val="24"/>
        </w:rPr>
        <w:t>ö</w:t>
      </w:r>
      <w:r>
        <w:rPr>
          <w:rFonts w:cs="Garamond" w:ascii="Garamond" w:hAnsi="Garamond"/>
          <w:sz w:val="24"/>
          <w:szCs w:val="24"/>
          <w:lang w:val="en-US"/>
        </w:rPr>
        <w:t>pelin</w:t>
      </w:r>
      <w:r>
        <w:rPr>
          <w:rFonts w:cs="Garamond" w:ascii="Garamond" w:hAnsi="Garamond"/>
          <w:sz w:val="24"/>
          <w:szCs w:val="24"/>
        </w:rPr>
        <w:t xml:space="preserve">, 1999; </w:t>
      </w:r>
      <w:r>
        <w:rPr>
          <w:rFonts w:cs="Garamond" w:ascii="Garamond" w:hAnsi="Garamond"/>
          <w:sz w:val="24"/>
          <w:szCs w:val="24"/>
          <w:lang w:val="en-US"/>
        </w:rPr>
        <w:t>van</w:t>
      </w:r>
      <w:r>
        <w:rPr>
          <w:rFonts w:cs="Garamond" w:ascii="Garamond" w:hAnsi="Garamond"/>
          <w:sz w:val="24"/>
          <w:szCs w:val="24"/>
        </w:rPr>
        <w:t xml:space="preserve"> </w:t>
      </w:r>
      <w:r>
        <w:rPr>
          <w:rFonts w:cs="Garamond" w:ascii="Garamond" w:hAnsi="Garamond"/>
          <w:iCs/>
          <w:sz w:val="24"/>
          <w:szCs w:val="24"/>
          <w:lang w:val="en-US"/>
        </w:rPr>
        <w:t>Neer</w:t>
      </w:r>
      <w:r>
        <w:rPr>
          <w:rFonts w:cs="Garamond" w:ascii="Garamond" w:hAnsi="Garamond"/>
          <w:iCs/>
          <w:sz w:val="24"/>
          <w:szCs w:val="24"/>
        </w:rPr>
        <w:t>, 1989</w:t>
      </w:r>
      <w:r>
        <w:rPr>
          <w:rFonts w:cs="Garamond" w:ascii="Garamond" w:hAnsi="Garamond"/>
          <w:sz w:val="24"/>
          <w:szCs w:val="24"/>
        </w:rPr>
        <w:t>]. Немного южнее, около эль-Деббы, в Нил вливалась река из 563-километрового Вади эль-Мелик [</w:t>
      </w:r>
      <w:r>
        <w:rPr>
          <w:rFonts w:cs="Garamond" w:ascii="Garamond" w:hAnsi="Garamond"/>
          <w:sz w:val="24"/>
          <w:szCs w:val="24"/>
          <w:lang w:val="en-US"/>
        </w:rPr>
        <w:t>Pachur</w:t>
      </w:r>
      <w:r>
        <w:rPr>
          <w:rFonts w:cs="Garamond" w:ascii="Garamond" w:hAnsi="Garamond"/>
          <w:sz w:val="24"/>
          <w:szCs w:val="24"/>
        </w:rPr>
        <w:t xml:space="preserve">, </w:t>
      </w:r>
      <w:r>
        <w:rPr>
          <w:rFonts w:cs="Garamond" w:ascii="Garamond" w:hAnsi="Garamond"/>
          <w:sz w:val="24"/>
          <w:szCs w:val="24"/>
          <w:lang w:val="en-US"/>
        </w:rPr>
        <w:t>Hoelzmann</w:t>
      </w:r>
      <w:r>
        <w:rPr>
          <w:rFonts w:cs="Garamond" w:ascii="Garamond" w:hAnsi="Garamond"/>
          <w:sz w:val="24"/>
          <w:szCs w:val="24"/>
        </w:rPr>
        <w:t>, 1991]. Судя по характерным отложениям в коротких левобережных вади Фиванской горы в Верхнем Египте — например, в Долине цариц, — здесь около 7500–3500 гг. до н. э. также существовали активные водотоки [</w:t>
      </w:r>
      <w:r>
        <w:rPr>
          <w:rFonts w:cs="Garamond" w:ascii="Garamond" w:hAnsi="Garamond"/>
          <w:sz w:val="24"/>
          <w:szCs w:val="24"/>
          <w:lang w:val="en-US"/>
        </w:rPr>
        <w:t>Graham</w:t>
      </w:r>
      <w:r>
        <w:rPr>
          <w:rFonts w:cs="Garamond" w:ascii="Garamond" w:hAnsi="Garamond"/>
          <w:sz w:val="24"/>
          <w:szCs w:val="24"/>
        </w:rPr>
        <w:t xml:space="preserve"> </w:t>
      </w:r>
      <w:r>
        <w:rPr>
          <w:rFonts w:cs="Garamond" w:ascii="Garamond" w:hAnsi="Garamond"/>
          <w:sz w:val="24"/>
          <w:szCs w:val="24"/>
          <w:lang w:val="en-US"/>
        </w:rPr>
        <w:t>et</w:t>
      </w:r>
      <w:r>
        <w:rPr>
          <w:rFonts w:cs="Garamond" w:ascii="Garamond" w:hAnsi="Garamond"/>
          <w:sz w:val="24"/>
          <w:szCs w:val="24"/>
        </w:rPr>
        <w:t xml:space="preserve"> </w:t>
      </w:r>
      <w:r>
        <w:rPr>
          <w:rFonts w:cs="Garamond" w:ascii="Garamond" w:hAnsi="Garamond"/>
          <w:sz w:val="24"/>
          <w:szCs w:val="24"/>
          <w:lang w:val="en-US"/>
        </w:rPr>
        <w:t>al</w:t>
      </w:r>
      <w:r>
        <w:rPr>
          <w:rFonts w:cs="Garamond" w:ascii="Garamond" w:hAnsi="Garamond"/>
          <w:sz w:val="24"/>
          <w:szCs w:val="24"/>
        </w:rPr>
        <w:t xml:space="preserve">., 2016]; при основателе </w:t>
      </w:r>
      <w:r>
        <w:rPr>
          <w:rFonts w:cs="Garamond" w:ascii="Garamond" w:hAnsi="Garamond"/>
          <w:sz w:val="24"/>
          <w:szCs w:val="24"/>
          <w:lang w:val="en-US"/>
        </w:rPr>
        <w:t>XVIII</w:t>
      </w:r>
      <w:r>
        <w:rPr>
          <w:rFonts w:cs="Garamond" w:ascii="Garamond" w:hAnsi="Garamond"/>
          <w:sz w:val="24"/>
          <w:szCs w:val="24"/>
        </w:rPr>
        <w:t xml:space="preserve"> династии Яхмосе </w:t>
      </w:r>
      <w:r>
        <w:rPr>
          <w:rFonts w:cs="Garamond" w:ascii="Garamond" w:hAnsi="Garamond"/>
          <w:sz w:val="24"/>
          <w:szCs w:val="24"/>
          <w:lang w:val="en-US"/>
        </w:rPr>
        <w:t>I</w:t>
      </w:r>
      <w:r>
        <w:rPr>
          <w:rFonts w:cs="Garamond" w:ascii="Garamond" w:hAnsi="Garamond"/>
          <w:sz w:val="24"/>
          <w:szCs w:val="24"/>
        </w:rPr>
        <w:t xml:space="preserve"> (вторая половина </w:t>
      </w:r>
      <w:r>
        <w:rPr>
          <w:rFonts w:cs="Garamond" w:ascii="Garamond" w:hAnsi="Garamond"/>
          <w:sz w:val="24"/>
          <w:szCs w:val="24"/>
          <w:lang w:val="en-US"/>
        </w:rPr>
        <w:t>XVI</w:t>
      </w:r>
      <w:r>
        <w:rPr>
          <w:rFonts w:cs="Garamond" w:ascii="Garamond" w:hAnsi="Garamond"/>
          <w:sz w:val="24"/>
          <w:szCs w:val="24"/>
        </w:rPr>
        <w:t> в. до н. э.) в результате дождя с грозой по этим вади сошел сокрушительный сель, уничтоживший или очень сильно повредивший богатое кладбище древнеегипетской знати Дра Абу эль-Нага с прилегающей жилой округой и, по-видимому, ставший для египтян на заре Нового царства стихийным бедствием государственного масштаба [</w:t>
      </w:r>
      <w:r>
        <w:rPr>
          <w:rFonts w:cs="Garamond" w:ascii="Garamond" w:hAnsi="Garamond"/>
          <w:sz w:val="24"/>
          <w:szCs w:val="24"/>
          <w:lang w:val="en-US"/>
        </w:rPr>
        <w:t>Vandersleyen</w:t>
      </w:r>
      <w:r>
        <w:rPr>
          <w:rFonts w:cs="Garamond" w:ascii="Garamond" w:hAnsi="Garamond"/>
          <w:sz w:val="24"/>
          <w:szCs w:val="24"/>
        </w:rPr>
        <w:t xml:space="preserve">, 1967; ср.: </w:t>
      </w:r>
      <w:r>
        <w:rPr>
          <w:rFonts w:cs="Garamond" w:ascii="Garamond" w:hAnsi="Garamond"/>
          <w:iCs/>
          <w:sz w:val="24"/>
          <w:szCs w:val="24"/>
          <w:lang w:val="en-US"/>
        </w:rPr>
        <w:t>Butzer</w:t>
      </w:r>
      <w:r>
        <w:rPr>
          <w:rFonts w:cs="Garamond" w:ascii="Garamond" w:hAnsi="Garamond"/>
          <w:iCs/>
          <w:sz w:val="24"/>
          <w:szCs w:val="24"/>
        </w:rPr>
        <w:t xml:space="preserve">, </w:t>
      </w:r>
      <w:r>
        <w:rPr>
          <w:rFonts w:cs="Garamond" w:ascii="Garamond" w:hAnsi="Garamond"/>
          <w:sz w:val="24"/>
          <w:szCs w:val="24"/>
        </w:rPr>
        <w:t>1959]. Даже в наши «гипераридные» времена, когда количество осадков в египетских пустынях местами не превышает 10 мм, а то и составляет менее 1 мм в год [</w:t>
      </w:r>
      <w:r>
        <w:rPr>
          <w:rFonts w:cs="Garamond" w:ascii="Garamond" w:hAnsi="Garamond"/>
          <w:sz w:val="24"/>
          <w:szCs w:val="24"/>
          <w:lang w:val="en-US"/>
        </w:rPr>
        <w:t>Zahran</w:t>
      </w:r>
      <w:r>
        <w:rPr>
          <w:rFonts w:cs="Garamond" w:ascii="Garamond" w:hAnsi="Garamond"/>
          <w:sz w:val="24"/>
          <w:szCs w:val="24"/>
        </w:rPr>
        <w:t xml:space="preserve">, </w:t>
      </w:r>
      <w:r>
        <w:rPr>
          <w:rFonts w:cs="Garamond" w:ascii="Garamond" w:hAnsi="Garamond"/>
          <w:sz w:val="24"/>
          <w:szCs w:val="24"/>
          <w:lang w:val="en-US"/>
        </w:rPr>
        <w:t>Willis</w:t>
      </w:r>
      <w:r>
        <w:rPr>
          <w:rFonts w:cs="Garamond" w:ascii="Garamond" w:hAnsi="Garamond"/>
          <w:sz w:val="24"/>
          <w:szCs w:val="24"/>
        </w:rPr>
        <w:t xml:space="preserve">, 1992], в «западных Фивах» случаются проливные дожди — как это было «грозовой» осенью 1994 г., ознаменовавшейся в Верхнем Египте затоплением посевов на площади 25000 федданов (около 10502,1 га), разрушением 11000 домов и гибелью более 500 человек, а египтологам запомнившейся еще и наводнением в Долине цариц, которое нанесло ущерб нескольким гробницам, в том числе усыпальнице </w:t>
      </w:r>
      <w:r>
        <w:rPr>
          <w:rFonts w:cs="Garamond" w:ascii="Garamond" w:hAnsi="Garamond"/>
          <w:sz w:val="24"/>
          <w:szCs w:val="24"/>
          <w:lang w:val="en-US"/>
        </w:rPr>
        <w:t>QV</w:t>
      </w:r>
      <w:r>
        <w:rPr>
          <w:rFonts w:cs="Garamond" w:ascii="Garamond" w:hAnsi="Garamond"/>
          <w:sz w:val="24"/>
          <w:szCs w:val="24"/>
        </w:rPr>
        <w:t> 60 дочери-жены Рамсеса </w:t>
      </w:r>
      <w:r>
        <w:rPr>
          <w:rFonts w:cs="Garamond" w:ascii="Garamond" w:hAnsi="Garamond"/>
          <w:sz w:val="24"/>
          <w:szCs w:val="24"/>
          <w:lang w:val="en-US"/>
        </w:rPr>
        <w:t>II</w:t>
      </w:r>
      <w:r>
        <w:rPr>
          <w:rFonts w:cs="Garamond" w:ascii="Garamond" w:hAnsi="Garamond"/>
          <w:sz w:val="24"/>
          <w:szCs w:val="24"/>
        </w:rPr>
        <w:t xml:space="preserve"> Небеттауи с хранившимися там в исследовательских целях мумиями и деревянными гробами; в Долине царей также был подтоплен целый ряд гробниц (</w:t>
      </w:r>
      <w:r>
        <w:rPr>
          <w:rFonts w:cs="Garamond" w:ascii="Garamond" w:hAnsi="Garamond"/>
          <w:sz w:val="24"/>
          <w:szCs w:val="24"/>
          <w:lang w:val="en-US"/>
        </w:rPr>
        <w:t>KV</w:t>
      </w:r>
      <w:r>
        <w:rPr>
          <w:rFonts w:cs="Garamond" w:ascii="Garamond" w:hAnsi="Garamond"/>
          <w:sz w:val="24"/>
          <w:szCs w:val="24"/>
        </w:rPr>
        <w:t> 13, 14, 15, 35, 57 и др.), а в ее наибольшем, Западном вади дождевой поток промыл «каналы» 2-метровой глубины и 3-метровой ширины; в мае 1995 г. Фиванский некрополь пострадал от очередного ливня [</w:t>
      </w:r>
      <w:r>
        <w:rPr>
          <w:rFonts w:cs="Garamond" w:ascii="Garamond" w:hAnsi="Garamond"/>
          <w:sz w:val="24"/>
          <w:szCs w:val="24"/>
          <w:lang w:val="en-US"/>
        </w:rPr>
        <w:t>Leblanc</w:t>
      </w:r>
      <w:r>
        <w:rPr>
          <w:rFonts w:cs="Garamond" w:ascii="Garamond" w:hAnsi="Garamond"/>
          <w:sz w:val="24"/>
          <w:szCs w:val="24"/>
        </w:rPr>
        <w:t xml:space="preserve">, 1995; </w:t>
      </w:r>
      <w:r>
        <w:rPr>
          <w:rFonts w:cs="Garamond" w:ascii="Garamond" w:hAnsi="Garamond"/>
          <w:sz w:val="24"/>
          <w:szCs w:val="24"/>
          <w:lang w:val="en-US"/>
        </w:rPr>
        <w:t>Weeks</w:t>
      </w:r>
      <w:r>
        <w:rPr>
          <w:rFonts w:cs="Garamond" w:ascii="Garamond" w:hAnsi="Garamond"/>
          <w:sz w:val="24"/>
          <w:szCs w:val="24"/>
        </w:rPr>
        <w:t>, 1995]. Аналогично этому, в 1956–1957 гг. археологическая экспедиция Анри Лота, изучавшая и калькировавшая петроглифы Тассилин-Аджера в самом центре Сахары, неоднократно попадала в «страшные» ненастья, когда с затянутых «темными тучами» небес обрушивались «настоящие водопады», переполнявшие вади и порождавшие в них «бурные потоки» [Лот, 1973]. В 1954 г. подобный дождь в Восточной пустыне затопил 200-километровое Вади Кена и одноименный город в его устье у Нила [</w:t>
      </w:r>
      <w:r>
        <w:rPr>
          <w:rFonts w:cs="Garamond" w:ascii="Garamond" w:hAnsi="Garamond"/>
          <w:sz w:val="24"/>
          <w:szCs w:val="24"/>
          <w:lang w:val="en-US"/>
        </w:rPr>
        <w:t>Hobbs</w:t>
      </w:r>
      <w:r>
        <w:rPr>
          <w:rFonts w:cs="Garamond" w:ascii="Garamond" w:hAnsi="Garamond"/>
          <w:sz w:val="24"/>
          <w:szCs w:val="24"/>
        </w:rPr>
        <w:t xml:space="preserve">, 1989]. </w:t>
      </w:r>
      <w:r>
        <w:rPr>
          <w:rFonts w:cs="Garamond" w:ascii="Garamond" w:hAnsi="Garamond"/>
          <w:sz w:val="24"/>
          <w:szCs w:val="24"/>
          <w:shd w:fill="FFFFFF" w:val="clear"/>
        </w:rPr>
        <w:t>В январе 1997 г. в окрестностях Луксора под ливень с градом размером «с куриное яйцо» угодила собравшаяся в Вади Аббад команда Д. Рола, который в данной связи вспоминал о трагической гибели в Омане группы студентов, чьи автомобили поглотил стремительно возникший в вади дождевой потоп [</w:t>
      </w:r>
      <w:r>
        <w:rPr>
          <w:rFonts w:cs="Garamond" w:ascii="Garamond" w:hAnsi="Garamond"/>
          <w:sz w:val="24"/>
          <w:szCs w:val="24"/>
          <w:shd w:fill="FFFFFF" w:val="clear"/>
          <w:lang w:val="en-US"/>
        </w:rPr>
        <w:t>Rohl</w:t>
      </w:r>
      <w:r>
        <w:rPr>
          <w:rFonts w:cs="Garamond" w:ascii="Garamond" w:hAnsi="Garamond"/>
          <w:sz w:val="24"/>
          <w:szCs w:val="24"/>
          <w:shd w:fill="FFFFFF" w:val="clear"/>
        </w:rPr>
        <w:t>, 1998]. В декабре 2020 г. после дождей пустыня около Эр-Рияда (Саудовская Аравия) была залита водой и перерезана множеством «рек» (</w:t>
      </w:r>
      <w:r>
        <w:rPr>
          <w:rFonts w:cs="Garamond" w:ascii="Garamond" w:hAnsi="Garamond"/>
          <w:i/>
          <w:iCs/>
          <w:sz w:val="24"/>
          <w:szCs w:val="24"/>
          <w:shd w:fill="FFFFFF" w:val="clear"/>
        </w:rPr>
        <w:t>илл. 7</w:t>
      </w:r>
      <w:r>
        <w:rPr>
          <w:rFonts w:cs="Garamond" w:ascii="Garamond" w:hAnsi="Garamond"/>
          <w:sz w:val="24"/>
          <w:szCs w:val="24"/>
          <w:shd w:fill="FFFFFF" w:val="clear"/>
        </w:rPr>
        <w:t>). Т. Уилкинсон предостерегал любителей арабских пустынь от установки лагерей на дне вади, поскольку ливневые наводнения в их руслах могут «неожиданно и без предупреждения» смести все на своем пути в считанные минуты [</w:t>
      </w:r>
      <w:r>
        <w:rPr>
          <w:rFonts w:cs="Garamond" w:ascii="Garamond" w:hAnsi="Garamond"/>
          <w:sz w:val="24"/>
          <w:szCs w:val="24"/>
          <w:shd w:fill="FFFFFF" w:val="clear"/>
          <w:lang w:val="en-US"/>
        </w:rPr>
        <w:t>Wilkinson</w:t>
      </w:r>
      <w:r>
        <w:rPr>
          <w:rFonts w:cs="Garamond" w:ascii="Garamond" w:hAnsi="Garamond"/>
          <w:sz w:val="24"/>
          <w:szCs w:val="24"/>
          <w:shd w:fill="FFFFFF" w:val="clear"/>
        </w:rPr>
        <w:t>, 2003].</w:t>
      </w:r>
    </w:p>
    <w:p>
      <w:pPr>
        <w:pStyle w:val="Normal"/>
        <w:autoSpaceDE w:val="false"/>
        <w:ind w:end="-31" w:firstLine="720"/>
        <w:jc w:val="both"/>
        <w:rPr/>
      </w:pPr>
      <w:r>
        <w:rPr>
          <w:rFonts w:cs="Garamond" w:ascii="Garamond" w:hAnsi="Garamond"/>
          <w:sz w:val="24"/>
          <w:szCs w:val="24"/>
        </w:rPr>
        <w:t>В ноябре 1992 г., «в сезон гроз», американский египтолог Рассел Роте наблюдал в районе Вади Баррамийа образование временного дождевого водотока, источник которого находился «в далеких горах» Этбая: в погожий солнечный день по относительно ровной поверхности пустыни со скоростью пешехода двигался «язык воды» шириной в несколько сотен метров и глубиной 15 см [</w:t>
      </w:r>
      <w:r>
        <w:rPr>
          <w:rFonts w:cs="Garamond" w:ascii="Garamond" w:hAnsi="Garamond"/>
          <w:sz w:val="24"/>
          <w:szCs w:val="24"/>
          <w:lang w:val="en-US"/>
        </w:rPr>
        <w:t>Rothe</w:t>
      </w:r>
      <w:r>
        <w:rPr>
          <w:rFonts w:cs="Garamond" w:ascii="Garamond" w:hAnsi="Garamond"/>
          <w:sz w:val="24"/>
          <w:szCs w:val="24"/>
        </w:rPr>
        <w:t xml:space="preserve">, </w:t>
      </w:r>
      <w:r>
        <w:rPr>
          <w:rFonts w:cs="Garamond" w:ascii="Garamond" w:hAnsi="Garamond"/>
          <w:sz w:val="24"/>
          <w:szCs w:val="24"/>
          <w:lang w:val="en-US"/>
        </w:rPr>
        <w:t>Miller</w:t>
      </w:r>
      <w:r>
        <w:rPr>
          <w:rFonts w:cs="Garamond" w:ascii="Garamond" w:hAnsi="Garamond"/>
          <w:sz w:val="24"/>
          <w:szCs w:val="24"/>
        </w:rPr>
        <w:t xml:space="preserve">, </w:t>
      </w:r>
      <w:r>
        <w:rPr>
          <w:rFonts w:cs="Garamond" w:ascii="Garamond" w:hAnsi="Garamond"/>
          <w:sz w:val="24"/>
          <w:szCs w:val="24"/>
          <w:lang w:val="en-US"/>
        </w:rPr>
        <w:t>Rapp</w:t>
      </w:r>
      <w:r>
        <w:rPr>
          <w:rFonts w:cs="Garamond" w:ascii="Garamond" w:hAnsi="Garamond"/>
          <w:sz w:val="24"/>
          <w:szCs w:val="24"/>
        </w:rPr>
        <w:t>, 2008]. Возвращаясь к большим «прямоугольным» ладьям египетской доисторической петроглифики, замечу, что созданные Туром Хейердалом в том числе по их образу и подобию реплики папирусных и камышовых древневосточных судов («плотов», см.: [Прусаков, 2015]) имели при спуске на воду, пока их материал еще не начал терять плавучесть, осадку всего в несколько десятков сантиметров (например, «Ра </w:t>
      </w:r>
      <w:r>
        <w:rPr>
          <w:rFonts w:cs="Garamond" w:ascii="Garamond" w:hAnsi="Garamond"/>
          <w:sz w:val="24"/>
          <w:szCs w:val="24"/>
          <w:lang w:val="en-US"/>
        </w:rPr>
        <w:t>I</w:t>
      </w:r>
      <w:r>
        <w:rPr>
          <w:rFonts w:cs="Garamond" w:ascii="Garamond" w:hAnsi="Garamond"/>
          <w:sz w:val="24"/>
          <w:szCs w:val="24"/>
        </w:rPr>
        <w:t>» 15-метровой длины, 5-метровой ширины и массой 12–14 тонн — 20 см) [</w:t>
      </w:r>
      <w:r>
        <w:rPr>
          <w:rFonts w:cs="Garamond" w:ascii="Garamond" w:hAnsi="Garamond"/>
          <w:sz w:val="24"/>
          <w:szCs w:val="24"/>
          <w:lang w:val="en-US"/>
        </w:rPr>
        <w:t>Heyerdahl</w:t>
      </w:r>
      <w:r>
        <w:rPr>
          <w:rFonts w:cs="Garamond" w:ascii="Garamond" w:hAnsi="Garamond"/>
          <w:sz w:val="24"/>
          <w:szCs w:val="24"/>
        </w:rPr>
        <w:t>, 1971; 1980]. Очевидно, что (не говоря уже о постоянных) даже сезонные ранне- и среднеголоценовые реки в крупнейших египетских восточных вади, питаемые сильными муссонными дождями, северная граница выпадения которых в полуторатысячелетнюю эпоху атлантического климатического оптимума с кульминацией около 5500 некалибр. л. н. ≈ 4344 г. до н. э. [Клименко, 2009] простиралась за будущий 1-й порог вплоть до нильской Дельты [</w:t>
      </w:r>
      <w:r>
        <w:rPr>
          <w:rFonts w:cs="Garamond" w:ascii="Garamond" w:hAnsi="Garamond"/>
          <w:sz w:val="24"/>
          <w:szCs w:val="24"/>
          <w:lang w:val="en-US"/>
        </w:rPr>
        <w:t>Fairbridge</w:t>
      </w:r>
      <w:r>
        <w:rPr>
          <w:rFonts w:cs="Garamond" w:ascii="Garamond" w:hAnsi="Garamond"/>
          <w:sz w:val="24"/>
          <w:szCs w:val="24"/>
        </w:rPr>
        <w:t xml:space="preserve">, 1962; </w:t>
      </w:r>
      <w:r>
        <w:rPr>
          <w:rFonts w:cs="Garamond" w:ascii="Garamond" w:hAnsi="Garamond"/>
          <w:sz w:val="24"/>
          <w:szCs w:val="24"/>
          <w:lang w:val="en-US"/>
        </w:rPr>
        <w:t>Sarnthein</w:t>
      </w:r>
      <w:r>
        <w:rPr>
          <w:rFonts w:cs="Garamond" w:ascii="Garamond" w:hAnsi="Garamond"/>
          <w:sz w:val="24"/>
          <w:szCs w:val="24"/>
        </w:rPr>
        <w:t xml:space="preserve">, 1978; ср.: </w:t>
      </w:r>
      <w:r>
        <w:rPr>
          <w:rFonts w:cs="Garamond" w:ascii="Garamond" w:hAnsi="Garamond"/>
          <w:sz w:val="24"/>
          <w:szCs w:val="24"/>
          <w:lang w:val="en-US"/>
        </w:rPr>
        <w:t>Haynes</w:t>
      </w:r>
      <w:r>
        <w:rPr>
          <w:rFonts w:cs="Garamond" w:ascii="Garamond" w:hAnsi="Garamond"/>
          <w:sz w:val="24"/>
          <w:szCs w:val="24"/>
        </w:rPr>
        <w:t>, 2001], обладали бы достаточной полноводностью (глубиной) для прохождения «травяных» бунтовых ладей любого водоизмещения. Зарождаясь же на склонах Этбая, эти реки не могли миновать полосу основных скоплений звериных и лодочных петроглифов в русловых системах Вади Хаммамат и Вади Баррамийа, причем обширность их соприкасающихся бассейнов общей площадью около 15080 км</w:t>
      </w:r>
      <w:r>
        <w:rPr>
          <w:rFonts w:cs="Garamond" w:ascii="Garamond" w:hAnsi="Garamond"/>
          <w:sz w:val="24"/>
          <w:szCs w:val="24"/>
          <w:vertAlign w:val="superscript"/>
        </w:rPr>
        <w:t>2</w:t>
      </w:r>
      <w:r>
        <w:rPr>
          <w:rFonts w:cs="Garamond" w:ascii="Garamond" w:hAnsi="Garamond"/>
          <w:sz w:val="24"/>
          <w:szCs w:val="24"/>
        </w:rPr>
        <w:t xml:space="preserve"> и суммарной длиной русел около 4915 км [</w:t>
      </w:r>
      <w:r>
        <w:rPr>
          <w:rFonts w:cs="Garamond" w:ascii="Garamond" w:hAnsi="Garamond"/>
          <w:sz w:val="24"/>
          <w:szCs w:val="24"/>
          <w:lang w:val="en-US"/>
        </w:rPr>
        <w:t>Moneim</w:t>
      </w:r>
      <w:r>
        <w:rPr>
          <w:rFonts w:cs="Garamond" w:ascii="Garamond" w:hAnsi="Garamond"/>
          <w:sz w:val="24"/>
          <w:szCs w:val="24"/>
        </w:rPr>
        <w:t xml:space="preserve">, 2005; ср.: </w:t>
      </w:r>
      <w:r>
        <w:rPr>
          <w:rFonts w:cs="Garamond" w:ascii="Garamond" w:hAnsi="Garamond"/>
          <w:sz w:val="24"/>
          <w:szCs w:val="24"/>
          <w:lang w:val="en-US"/>
        </w:rPr>
        <w:t>El</w:t>
      </w:r>
      <w:r>
        <w:rPr>
          <w:rFonts w:cs="Garamond" w:ascii="Garamond" w:hAnsi="Garamond"/>
          <w:sz w:val="24"/>
          <w:szCs w:val="24"/>
        </w:rPr>
        <w:t xml:space="preserve"> </w:t>
      </w:r>
      <w:r>
        <w:rPr>
          <w:rFonts w:cs="Garamond" w:ascii="Garamond" w:hAnsi="Garamond"/>
          <w:sz w:val="24"/>
          <w:szCs w:val="24"/>
          <w:lang w:val="en-US"/>
        </w:rPr>
        <w:t>Shamy</w:t>
      </w:r>
      <w:r>
        <w:rPr>
          <w:rFonts w:cs="Garamond" w:ascii="Garamond" w:hAnsi="Garamond"/>
          <w:sz w:val="24"/>
          <w:szCs w:val="24"/>
        </w:rPr>
        <w:t>, 1992] предполагает ее высокое обводнение и (не отказывая в научной актуальности их религиоведческим интерпретациям) «географический реализм» наскальных рисунков не только всей без исключения влаголюбиво-полуводной фауны [Прусаков, 2019б], но и сколь угодно огромных лодок. Теоретический аргумент: масса миллиметра атмосферных осадков на указанной площади составляет около 15060000 тонн, эквивалентных стоку порядка 0,015 км</w:t>
      </w:r>
      <w:r>
        <w:rPr>
          <w:rFonts w:cs="Garamond" w:ascii="Garamond" w:hAnsi="Garamond"/>
          <w:sz w:val="24"/>
          <w:szCs w:val="24"/>
          <w:vertAlign w:val="superscript"/>
        </w:rPr>
        <w:t>3</w:t>
      </w:r>
      <w:r>
        <w:rPr>
          <w:rFonts w:cs="Garamond" w:ascii="Garamond" w:hAnsi="Garamond"/>
          <w:sz w:val="24"/>
          <w:szCs w:val="24"/>
        </w:rPr>
        <w:t>; при их выпадении в доисторической Восточной пустыне в количестве не меньше 100 мм в год, которое американский палеогеограф, специалист по Египту Карл Бутцер считал необходимым минимумом для физического выживания здесь слона [</w:t>
      </w:r>
      <w:r>
        <w:rPr>
          <w:rFonts w:cs="Garamond" w:ascii="Garamond" w:hAnsi="Garamond"/>
          <w:iCs/>
          <w:sz w:val="24"/>
          <w:szCs w:val="24"/>
          <w:lang w:val="en-US"/>
        </w:rPr>
        <w:t>Butzer</w:t>
      </w:r>
      <w:r>
        <w:rPr>
          <w:rFonts w:cs="Garamond" w:ascii="Garamond" w:hAnsi="Garamond"/>
          <w:iCs/>
          <w:sz w:val="24"/>
          <w:szCs w:val="24"/>
        </w:rPr>
        <w:t>, 1958</w:t>
      </w:r>
      <w:r>
        <w:rPr>
          <w:rFonts w:cs="Garamond" w:ascii="Garamond" w:hAnsi="Garamond"/>
          <w:sz w:val="24"/>
          <w:szCs w:val="24"/>
        </w:rPr>
        <w:t>; 1959], этот условный объем воды можно оценивать в сотые доли годового стока Главного Нила в голоцене как после, так и до «неолитического спада» (см. выше), и даже с учетом потерь на испарение, впитывание в почву и т. п. предварительно соотносить не с эфемерными ручьями, а именно с полноценными средними реками.</w:t>
      </w:r>
      <w:r>
        <mc:AlternateContent>
          <mc:Choice Requires="wps">
            <w:drawing>
              <wp:anchor behindDoc="0" distT="0" distB="0" distL="114300" distR="0" simplePos="0" locked="0" layoutInCell="0" allowOverlap="1" relativeHeight="10">
                <wp:simplePos x="0" y="0"/>
                <wp:positionH relativeFrom="margin">
                  <wp:align>right</wp:align>
                </wp:positionH>
                <wp:positionV relativeFrom="paragraph">
                  <wp:posOffset>-1865630</wp:posOffset>
                </wp:positionV>
                <wp:extent cx="3154680" cy="4259580"/>
                <wp:effectExtent l="0" t="0" r="0" b="0"/>
                <wp:wrapSquare wrapText="bothSides"/>
                <wp:docPr id="11" name="Врезка2"/>
                <a:graphic xmlns:a="http://schemas.openxmlformats.org/drawingml/2006/main">
                  <a:graphicData uri="http://schemas.microsoft.com/office/word/2010/wordprocessingShape">
                    <wps:wsp>
                      <wps:cNvSpPr txBox="1"/>
                      <wps:spPr>
                        <a:xfrm>
                          <a:off x="0" y="0"/>
                          <a:ext cx="3154680" cy="4259580"/>
                        </a:xfrm>
                        <a:prstGeom prst="rect"/>
                        <a:solidFill>
                          <a:srgbClr val="FFFFFF">
                            <a:alpha val="0"/>
                          </a:srgbClr>
                        </a:solidFill>
                      </wps:spPr>
                      <wps:txbx>
                        <w:txbxContent>
                          <w:tbl>
                            <w:tblPr>
                              <w:tblW w:w="4968" w:type="dxa"/>
                              <w:jc w:val="start"/>
                              <w:tblInd w:w="0" w:type="dxa"/>
                              <w:tblLayout w:type="fixed"/>
                              <w:tblCellMar>
                                <w:top w:w="0" w:type="dxa"/>
                                <w:start w:w="108" w:type="dxa"/>
                                <w:bottom w:w="0" w:type="dxa"/>
                                <w:end w:w="108" w:type="dxa"/>
                              </w:tblCellMar>
                            </w:tblPr>
                            <w:tblGrid>
                              <w:gridCol w:w="4968"/>
                            </w:tblGrid>
                            <w:tr>
                              <w:trPr/>
                              <w:tc>
                                <w:tcPr>
                                  <w:tcW w:w="4968" w:type="dxa"/>
                                  <w:tcBorders/>
                                </w:tcPr>
                                <w:p>
                                  <w:pPr>
                                    <w:pStyle w:val="Normal"/>
                                    <w:autoSpaceDE w:val="false"/>
                                    <w:ind w:end="-31" w:hanging="0"/>
                                    <w:jc w:val="center"/>
                                    <w:rPr>
                                      <w:rFonts w:ascii="Garamond" w:hAnsi="Garamond" w:cs="Garamond"/>
                                      <w:sz w:val="22"/>
                                      <w:szCs w:val="22"/>
                                      <w:shd w:fill="FFFFFF" w:val="clear"/>
                                    </w:rPr>
                                  </w:pPr>
                                  <w:r>
                                    <w:rPr>
                                      <w:rFonts w:cs="Garamond" w:ascii="Garamond" w:hAnsi="Garamond"/>
                                      <w:sz w:val="22"/>
                                      <w:szCs w:val="22"/>
                                      <w:shd w:fill="FFFFFF" w:val="clear"/>
                                    </w:rPr>
                                    <w:drawing>
                                      <wp:inline distT="0" distB="0" distL="0" distR="0">
                                        <wp:extent cx="1472565" cy="2087245"/>
                                        <wp:effectExtent l="0" t="0" r="0" b="0"/>
                                        <wp:docPr id="12" name="Изображение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descr="" title=""/>
                                                <pic:cNvPicPr>
                                                  <a:picLocks noChangeAspect="1" noChangeArrowheads="1"/>
                                                </pic:cNvPicPr>
                                              </pic:nvPicPr>
                                              <pic:blipFill>
                                                <a:blip r:embed="rId10"/>
                                                <a:srcRect l="-1" t="-1" r="-1" b="-1"/>
                                                <a:stretch>
                                                  <a:fillRect/>
                                                </a:stretch>
                                              </pic:blipFill>
                                              <pic:spPr bwMode="auto">
                                                <a:xfrm>
                                                  <a:off x="0" y="0"/>
                                                  <a:ext cx="1472565" cy="2087245"/>
                                                </a:xfrm>
                                                <a:prstGeom prst="rect">
                                                  <a:avLst/>
                                                </a:prstGeom>
                                              </pic:spPr>
                                            </pic:pic>
                                          </a:graphicData>
                                        </a:graphic>
                                      </wp:inline>
                                    </w:drawing>
                                  </w:r>
                                  <w:r>
                                    <w:rPr>
                                      <w:rFonts w:eastAsia="Garamond" w:cs="Garamond" w:ascii="Garamond" w:hAnsi="Garamond"/>
                                      <w:sz w:val="22"/>
                                      <w:szCs w:val="22"/>
                                      <w:shd w:fill="FFFFFF" w:val="clear"/>
                                    </w:rPr>
                                    <w:t xml:space="preserve"> </w:t>
                                  </w:r>
                                  <w:r>
                                    <w:rPr>
                                      <w:rFonts w:cs="Garamond" w:ascii="Garamond" w:hAnsi="Garamond"/>
                                      <w:sz w:val="22"/>
                                      <w:szCs w:val="22"/>
                                      <w:shd w:fill="FFFFFF" w:val="clear"/>
                                    </w:rPr>
                                    <w:drawing>
                                      <wp:inline distT="0" distB="0" distL="0" distR="0">
                                        <wp:extent cx="1492885" cy="2084070"/>
                                        <wp:effectExtent l="0" t="0" r="0" b="0"/>
                                        <wp:docPr id="13" name="Изображение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9" descr="" title=""/>
                                                <pic:cNvPicPr>
                                                  <a:picLocks noChangeAspect="1" noChangeArrowheads="1"/>
                                                </pic:cNvPicPr>
                                              </pic:nvPicPr>
                                              <pic:blipFill>
                                                <a:blip r:embed="rId11"/>
                                                <a:srcRect l="-1" t="-1" r="-1" b="-1"/>
                                                <a:stretch>
                                                  <a:fillRect/>
                                                </a:stretch>
                                              </pic:blipFill>
                                              <pic:spPr bwMode="auto">
                                                <a:xfrm>
                                                  <a:off x="0" y="0"/>
                                                  <a:ext cx="1492885" cy="2084070"/>
                                                </a:xfrm>
                                                <a:prstGeom prst="rect">
                                                  <a:avLst/>
                                                </a:prstGeom>
                                              </pic:spPr>
                                            </pic:pic>
                                          </a:graphicData>
                                        </a:graphic>
                                      </wp:inline>
                                    </w:drawing>
                                  </w:r>
                                </w:p>
                                <w:p>
                                  <w:pPr>
                                    <w:pStyle w:val="Normal"/>
                                    <w:autoSpaceDE w:val="false"/>
                                    <w:ind w:end="-31" w:hanging="0"/>
                                    <w:jc w:val="center"/>
                                    <w:rPr/>
                                  </w:pPr>
                                  <w:r>
                                    <w:rPr>
                                      <w:rFonts w:cs="Garamond" w:ascii="Garamond" w:hAnsi="Garamond"/>
                                      <w:i/>
                                      <w:iCs/>
                                      <w:sz w:val="22"/>
                                      <w:szCs w:val="22"/>
                                    </w:rPr>
                                    <w:t>Илл. 7.</w:t>
                                  </w:r>
                                  <w:r>
                                    <w:rPr>
                                      <w:rFonts w:cs="Garamond" w:ascii="Garamond" w:hAnsi="Garamond"/>
                                      <w:sz w:val="22"/>
                                      <w:szCs w:val="22"/>
                                    </w:rPr>
                                    <w:t xml:space="preserve"> Пустыня в окрестностях Эр-Рияда после дождей в декабре 2020 г. </w:t>
                                  </w:r>
                                </w:p>
                                <w:p>
                                  <w:pPr>
                                    <w:pStyle w:val="Normal"/>
                                    <w:autoSpaceDE w:val="false"/>
                                    <w:ind w:end="-31" w:hanging="0"/>
                                    <w:jc w:val="center"/>
                                    <w:rPr>
                                      <w:rFonts w:ascii="Garamond" w:hAnsi="Garamond" w:cs="Garamond"/>
                                      <w:sz w:val="22"/>
                                      <w:szCs w:val="22"/>
                                      <w:lang w:val="en-US"/>
                                    </w:rPr>
                                  </w:pPr>
                                  <w:r>
                                    <w:rPr>
                                      <w:rFonts w:cs="Garamond" w:ascii="Garamond" w:hAnsi="Garamond"/>
                                      <w:sz w:val="22"/>
                                      <w:szCs w:val="22"/>
                                      <w:lang w:val="en-US"/>
                                    </w:rPr>
                                    <w:t>(</w:t>
                                  </w:r>
                                  <w:r>
                                    <w:rPr>
                                      <w:rFonts w:cs="Garamond" w:ascii="Garamond" w:hAnsi="Garamond"/>
                                      <w:sz w:val="22"/>
                                      <w:szCs w:val="22"/>
                                    </w:rPr>
                                    <w:t>по</w:t>
                                  </w:r>
                                  <w:r>
                                    <w:rPr>
                                      <w:rFonts w:cs="Garamond" w:ascii="Garamond" w:hAnsi="Garamond"/>
                                      <w:sz w:val="22"/>
                                      <w:szCs w:val="22"/>
                                      <w:lang w:val="en-US"/>
                                    </w:rPr>
                                    <w:t>: ClimatJazeera.</w:t>
                                  </w:r>
                                  <w:r>
                                    <w:rPr>
                                      <w:sz w:val="22"/>
                                      <w:szCs w:val="22"/>
                                      <w:lang w:val="en-US"/>
                                    </w:rPr>
                                    <w:t xml:space="preserve"> </w:t>
                                  </w:r>
                                  <w:r>
                                    <w:rPr>
                                      <w:rFonts w:cs="Garamond" w:ascii="Garamond" w:hAnsi="Garamond"/>
                                      <w:i/>
                                      <w:sz w:val="22"/>
                                      <w:szCs w:val="22"/>
                                      <w:lang w:val="en-US"/>
                                    </w:rPr>
                                    <w:t>Twitter.com</w:t>
                                  </w:r>
                                  <w:r>
                                    <w:rPr>
                                      <w:rFonts w:cs="Garamond" w:ascii="Garamond" w:hAnsi="Garamond"/>
                                      <w:sz w:val="22"/>
                                      <w:szCs w:val="22"/>
                                      <w:lang w:val="en-US"/>
                                    </w:rPr>
                                    <w:t xml:space="preserve">. 06.12.2020. URL: </w:t>
                                  </w:r>
                                  <w:hyperlink r:id="rId12" w:tgtFrame="_blank">
                                    <w:r>
                                      <w:rPr>
                                        <w:rFonts w:cs="Garamond" w:ascii="Garamond" w:hAnsi="Garamond"/>
                                        <w:color w:val="000000"/>
                                        <w:sz w:val="22"/>
                                        <w:szCs w:val="22"/>
                                        <w:u w:val="none"/>
                                        <w:lang w:val="en-US"/>
                                      </w:rPr>
                                      <w:t>https://twitter.com/ClimatJazeera/status/1335496375 107280896?ref_src=twsrc%5Etfw%7Ctwcamp%5Etwe etembed%7Ctwterm%5E1335496375107280896%7Ct wgr%5E%7Ctwcon%5Es1_&amp;ref_url=https%3A%2F% 2Fpogoda.mail.ru%2Fnews%2F44442248%2F</w:t>
                                    </w:r>
                                  </w:hyperlink>
                                </w:p>
                                <w:p>
                                  <w:pPr>
                                    <w:pStyle w:val="Normal"/>
                                    <w:autoSpaceDE w:val="false"/>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Normal"/>
                                    <w:autoSpaceDE w:val="false"/>
                                    <w:ind w:end="-31" w:hanging="0"/>
                                    <w:jc w:val="center"/>
                                    <w:rPr>
                                      <w:rFonts w:ascii="Garamond" w:hAnsi="Garamond" w:cs="Garamond"/>
                                      <w:sz w:val="8"/>
                                      <w:szCs w:val="8"/>
                                      <w:shd w:fill="FFFFFF" w:val="clear"/>
                                    </w:rPr>
                                  </w:pPr>
                                  <w:r>
                                    <w:rPr>
                                      <w:rFonts w:cs="Garamond" w:ascii="Garamond" w:hAnsi="Garamond"/>
                                      <w:sz w:val="8"/>
                                      <w:szCs w:val="8"/>
                                      <w:shd w:fill="FFFFFF" w:val="clear"/>
                                    </w:rPr>
                                  </w:r>
                                </w:p>
                              </w:tc>
                            </w:tr>
                          </w:tbl>
                        </w:txbxContent>
                      </wps:txbx>
                      <wps:bodyPr anchor="t" lIns="0" tIns="0" rIns="0" bIns="0">
                        <a:noAutofit/>
                      </wps:bodyPr>
                    </wps:wsp>
                  </a:graphicData>
                </a:graphic>
              </wp:anchor>
            </w:drawing>
          </mc:Choice>
          <mc:Fallback>
            <w:pict>
              <v:rect fillcolor="#FFFFFF" style="position:absolute;rotation:0;width:248.4pt;height:335.4pt;mso-wrap-distance-left:9pt;mso-wrap-distance-right:0pt;mso-wrap-distance-top:0pt;mso-wrap-distance-bottom:0pt;margin-top:-146.9pt;mso-position-vertical-relative:text;margin-left:190.95pt;mso-position-horizontal:right;mso-position-horizontal-relative:margin">
                <v:fill opacity="0f"/>
                <v:textbox inset="0in,0in,0in,0in">
                  <w:txbxContent>
                    <w:tbl>
                      <w:tblPr>
                        <w:tblW w:w="4968" w:type="dxa"/>
                        <w:jc w:val="start"/>
                        <w:tblInd w:w="0" w:type="dxa"/>
                        <w:tblLayout w:type="fixed"/>
                        <w:tblCellMar>
                          <w:top w:w="0" w:type="dxa"/>
                          <w:start w:w="108" w:type="dxa"/>
                          <w:bottom w:w="0" w:type="dxa"/>
                          <w:end w:w="108" w:type="dxa"/>
                        </w:tblCellMar>
                      </w:tblPr>
                      <w:tblGrid>
                        <w:gridCol w:w="4968"/>
                      </w:tblGrid>
                      <w:tr>
                        <w:trPr/>
                        <w:tc>
                          <w:tcPr>
                            <w:tcW w:w="4968" w:type="dxa"/>
                            <w:tcBorders/>
                          </w:tcPr>
                          <w:p>
                            <w:pPr>
                              <w:pStyle w:val="Normal"/>
                              <w:autoSpaceDE w:val="false"/>
                              <w:ind w:end="-31" w:hanging="0"/>
                              <w:jc w:val="center"/>
                              <w:rPr>
                                <w:rFonts w:ascii="Garamond" w:hAnsi="Garamond" w:cs="Garamond"/>
                                <w:sz w:val="22"/>
                                <w:szCs w:val="22"/>
                                <w:shd w:fill="FFFFFF" w:val="clear"/>
                              </w:rPr>
                            </w:pPr>
                            <w:r>
                              <w:rPr>
                                <w:rFonts w:cs="Garamond" w:ascii="Garamond" w:hAnsi="Garamond"/>
                                <w:sz w:val="22"/>
                                <w:szCs w:val="22"/>
                                <w:shd w:fill="FFFFFF" w:val="clear"/>
                              </w:rPr>
                              <w:drawing>
                                <wp:inline distT="0" distB="0" distL="0" distR="0">
                                  <wp:extent cx="1472565" cy="2087245"/>
                                  <wp:effectExtent l="0" t="0" r="0" b="0"/>
                                  <wp:docPr id="14" name="Изображение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8" descr="" title=""/>
                                          <pic:cNvPicPr>
                                            <a:picLocks noChangeAspect="1" noChangeArrowheads="1"/>
                                          </pic:cNvPicPr>
                                        </pic:nvPicPr>
                                        <pic:blipFill>
                                          <a:blip r:embed="rId10"/>
                                          <a:srcRect l="-1" t="-1" r="-1" b="-1"/>
                                          <a:stretch>
                                            <a:fillRect/>
                                          </a:stretch>
                                        </pic:blipFill>
                                        <pic:spPr bwMode="auto">
                                          <a:xfrm>
                                            <a:off x="0" y="0"/>
                                            <a:ext cx="1472565" cy="2087245"/>
                                          </a:xfrm>
                                          <a:prstGeom prst="rect">
                                            <a:avLst/>
                                          </a:prstGeom>
                                        </pic:spPr>
                                      </pic:pic>
                                    </a:graphicData>
                                  </a:graphic>
                                </wp:inline>
                              </w:drawing>
                            </w:r>
                            <w:r>
                              <w:rPr>
                                <w:rFonts w:eastAsia="Garamond" w:cs="Garamond" w:ascii="Garamond" w:hAnsi="Garamond"/>
                                <w:sz w:val="22"/>
                                <w:szCs w:val="22"/>
                                <w:shd w:fill="FFFFFF" w:val="clear"/>
                              </w:rPr>
                              <w:t xml:space="preserve"> </w:t>
                            </w:r>
                            <w:r>
                              <w:rPr>
                                <w:rFonts w:cs="Garamond" w:ascii="Garamond" w:hAnsi="Garamond"/>
                                <w:sz w:val="22"/>
                                <w:szCs w:val="22"/>
                                <w:shd w:fill="FFFFFF" w:val="clear"/>
                              </w:rPr>
                              <w:drawing>
                                <wp:inline distT="0" distB="0" distL="0" distR="0">
                                  <wp:extent cx="1492885" cy="2084070"/>
                                  <wp:effectExtent l="0" t="0" r="0" b="0"/>
                                  <wp:docPr id="15" name="Изображение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9" descr="" title=""/>
                                          <pic:cNvPicPr>
                                            <a:picLocks noChangeAspect="1" noChangeArrowheads="1"/>
                                          </pic:cNvPicPr>
                                        </pic:nvPicPr>
                                        <pic:blipFill>
                                          <a:blip r:embed="rId11"/>
                                          <a:srcRect l="-1" t="-1" r="-1" b="-1"/>
                                          <a:stretch>
                                            <a:fillRect/>
                                          </a:stretch>
                                        </pic:blipFill>
                                        <pic:spPr bwMode="auto">
                                          <a:xfrm>
                                            <a:off x="0" y="0"/>
                                            <a:ext cx="1492885" cy="2084070"/>
                                          </a:xfrm>
                                          <a:prstGeom prst="rect">
                                            <a:avLst/>
                                          </a:prstGeom>
                                        </pic:spPr>
                                      </pic:pic>
                                    </a:graphicData>
                                  </a:graphic>
                                </wp:inline>
                              </w:drawing>
                            </w:r>
                          </w:p>
                          <w:p>
                            <w:pPr>
                              <w:pStyle w:val="Normal"/>
                              <w:autoSpaceDE w:val="false"/>
                              <w:ind w:end="-31" w:hanging="0"/>
                              <w:jc w:val="center"/>
                              <w:rPr/>
                            </w:pPr>
                            <w:r>
                              <w:rPr>
                                <w:rFonts w:cs="Garamond" w:ascii="Garamond" w:hAnsi="Garamond"/>
                                <w:i/>
                                <w:iCs/>
                                <w:sz w:val="22"/>
                                <w:szCs w:val="22"/>
                              </w:rPr>
                              <w:t>Илл. 7.</w:t>
                            </w:r>
                            <w:r>
                              <w:rPr>
                                <w:rFonts w:cs="Garamond" w:ascii="Garamond" w:hAnsi="Garamond"/>
                                <w:sz w:val="22"/>
                                <w:szCs w:val="22"/>
                              </w:rPr>
                              <w:t xml:space="preserve"> Пустыня в окрестностях Эр-Рияда после дождей в декабре 2020 г. </w:t>
                            </w:r>
                          </w:p>
                          <w:p>
                            <w:pPr>
                              <w:pStyle w:val="Normal"/>
                              <w:autoSpaceDE w:val="false"/>
                              <w:ind w:end="-31" w:hanging="0"/>
                              <w:jc w:val="center"/>
                              <w:rPr>
                                <w:rFonts w:ascii="Garamond" w:hAnsi="Garamond" w:cs="Garamond"/>
                                <w:sz w:val="22"/>
                                <w:szCs w:val="22"/>
                                <w:lang w:val="en-US"/>
                              </w:rPr>
                            </w:pPr>
                            <w:r>
                              <w:rPr>
                                <w:rFonts w:cs="Garamond" w:ascii="Garamond" w:hAnsi="Garamond"/>
                                <w:sz w:val="22"/>
                                <w:szCs w:val="22"/>
                                <w:lang w:val="en-US"/>
                              </w:rPr>
                              <w:t>(</w:t>
                            </w:r>
                            <w:r>
                              <w:rPr>
                                <w:rFonts w:cs="Garamond" w:ascii="Garamond" w:hAnsi="Garamond"/>
                                <w:sz w:val="22"/>
                                <w:szCs w:val="22"/>
                              </w:rPr>
                              <w:t>по</w:t>
                            </w:r>
                            <w:r>
                              <w:rPr>
                                <w:rFonts w:cs="Garamond" w:ascii="Garamond" w:hAnsi="Garamond"/>
                                <w:sz w:val="22"/>
                                <w:szCs w:val="22"/>
                                <w:lang w:val="en-US"/>
                              </w:rPr>
                              <w:t>: ClimatJazeera.</w:t>
                            </w:r>
                            <w:r>
                              <w:rPr>
                                <w:sz w:val="22"/>
                                <w:szCs w:val="22"/>
                                <w:lang w:val="en-US"/>
                              </w:rPr>
                              <w:t xml:space="preserve"> </w:t>
                            </w:r>
                            <w:r>
                              <w:rPr>
                                <w:rFonts w:cs="Garamond" w:ascii="Garamond" w:hAnsi="Garamond"/>
                                <w:i/>
                                <w:sz w:val="22"/>
                                <w:szCs w:val="22"/>
                                <w:lang w:val="en-US"/>
                              </w:rPr>
                              <w:t>Twitter.com</w:t>
                            </w:r>
                            <w:r>
                              <w:rPr>
                                <w:rFonts w:cs="Garamond" w:ascii="Garamond" w:hAnsi="Garamond"/>
                                <w:sz w:val="22"/>
                                <w:szCs w:val="22"/>
                                <w:lang w:val="en-US"/>
                              </w:rPr>
                              <w:t xml:space="preserve">. 06.12.2020. URL: </w:t>
                            </w:r>
                            <w:hyperlink r:id="rId13" w:tgtFrame="_blank">
                              <w:r>
                                <w:rPr>
                                  <w:rFonts w:cs="Garamond" w:ascii="Garamond" w:hAnsi="Garamond"/>
                                  <w:color w:val="000000"/>
                                  <w:sz w:val="22"/>
                                  <w:szCs w:val="22"/>
                                  <w:u w:val="none"/>
                                  <w:lang w:val="en-US"/>
                                </w:rPr>
                                <w:t>https://twitter.com/ClimatJazeera/status/1335496375 107280896?ref_src=twsrc%5Etfw%7Ctwcamp%5Etwe etembed%7Ctwterm%5E1335496375107280896%7Ct wgr%5E%7Ctwcon%5Es1_&amp;ref_url=https%3A%2F% 2Fpogoda.mail.ru%2Fnews%2F44442248%2F</w:t>
                              </w:r>
                            </w:hyperlink>
                          </w:p>
                          <w:p>
                            <w:pPr>
                              <w:pStyle w:val="Normal"/>
                              <w:autoSpaceDE w:val="false"/>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Normal"/>
                              <w:autoSpaceDE w:val="false"/>
                              <w:ind w:end="-31" w:hanging="0"/>
                              <w:jc w:val="center"/>
                              <w:rPr>
                                <w:rFonts w:ascii="Garamond" w:hAnsi="Garamond" w:cs="Garamond"/>
                                <w:sz w:val="8"/>
                                <w:szCs w:val="8"/>
                                <w:shd w:fill="FFFFFF" w:val="clear"/>
                              </w:rPr>
                            </w:pPr>
                            <w:r>
                              <w:rPr>
                                <w:rFonts w:cs="Garamond" w:ascii="Garamond" w:hAnsi="Garamond"/>
                                <w:sz w:val="8"/>
                                <w:szCs w:val="8"/>
                                <w:shd w:fill="FFFFFF" w:val="clear"/>
                              </w:rPr>
                            </w:r>
                          </w:p>
                        </w:tc>
                      </w:tr>
                    </w:tbl>
                  </w:txbxContent>
                </v:textbox>
                <w10:wrap type="square"/>
              </v:rect>
            </w:pict>
          </mc:Fallback>
        </mc:AlternateContent>
      </w:r>
    </w:p>
    <w:p>
      <w:pPr>
        <w:pStyle w:val="Normal"/>
        <w:autoSpaceDE w:val="false"/>
        <w:ind w:end="-31" w:firstLine="720"/>
        <w:jc w:val="both"/>
        <w:rPr/>
      </w:pPr>
      <w:r>
        <w:rPr>
          <w:rFonts w:cs="Garamond" w:ascii="Garamond" w:hAnsi="Garamond"/>
          <w:sz w:val="24"/>
          <w:szCs w:val="24"/>
        </w:rPr>
        <w:t xml:space="preserve">«Рекообразующие» в теории Вади Хаммамат и Вади Баррамийа с песчаными магистральными руслами служили человеку одними из самых удобных на всем протяжении Нила «входных ворот» в пустыню; рисунки и надписи доисторического, фараоновского и позднейших времен, усеивающие их скальные берега, специалисты неизменно ассоциировали с имевшими </w:t>
      </w:r>
      <w:r>
        <w:rPr>
          <w:rFonts w:cs="Garamond" w:ascii="Garamond" w:hAnsi="Garamond"/>
          <w:i/>
          <w:sz w:val="24"/>
          <w:szCs w:val="24"/>
        </w:rPr>
        <w:t>определенные направления и цели</w:t>
      </w:r>
      <w:r>
        <w:rPr>
          <w:rFonts w:cs="Garamond" w:ascii="Garamond" w:hAnsi="Garamond"/>
          <w:sz w:val="24"/>
          <w:szCs w:val="24"/>
        </w:rPr>
        <w:t xml:space="preserve"> людскими путями, прежде всего маршрутами древних экспедиций в каменоломни и рудники к востоку от Египта и кратчайшими прямыми дорогами между Рекой к Красным морем. Исследователи, не высказывая особого удивления [</w:t>
      </w:r>
      <w:r>
        <w:rPr>
          <w:rFonts w:cs="Garamond" w:ascii="Garamond" w:hAnsi="Garamond"/>
          <w:sz w:val="24"/>
          <w:szCs w:val="24"/>
          <w:lang w:val="en-US"/>
        </w:rPr>
        <w:t>Lankester</w:t>
      </w:r>
      <w:r>
        <w:rPr>
          <w:rFonts w:cs="Garamond" w:ascii="Garamond" w:hAnsi="Garamond"/>
          <w:sz w:val="24"/>
          <w:szCs w:val="24"/>
        </w:rPr>
        <w:t>, 2012], отмечали, что в нескольких египетских экспедиционных надписях на этих дорогах среди руководства встречаются «капитаны» судов [</w:t>
      </w:r>
      <w:r>
        <w:rPr>
          <w:rFonts w:cs="Garamond" w:ascii="Garamond" w:hAnsi="Garamond"/>
          <w:sz w:val="24"/>
          <w:szCs w:val="24"/>
          <w:lang w:val="en-US"/>
        </w:rPr>
        <w:t>Rothe</w:t>
      </w:r>
      <w:r>
        <w:rPr>
          <w:rFonts w:cs="Garamond" w:ascii="Garamond" w:hAnsi="Garamond"/>
          <w:sz w:val="24"/>
          <w:szCs w:val="24"/>
        </w:rPr>
        <w:t xml:space="preserve">, </w:t>
      </w:r>
      <w:r>
        <w:rPr>
          <w:rFonts w:cs="Garamond" w:ascii="Garamond" w:hAnsi="Garamond"/>
          <w:sz w:val="24"/>
          <w:szCs w:val="24"/>
          <w:lang w:val="en-US"/>
        </w:rPr>
        <w:t>Miller</w:t>
      </w:r>
      <w:r>
        <w:rPr>
          <w:rFonts w:cs="Garamond" w:ascii="Garamond" w:hAnsi="Garamond"/>
          <w:sz w:val="24"/>
          <w:szCs w:val="24"/>
        </w:rPr>
        <w:t xml:space="preserve">, </w:t>
      </w:r>
      <w:r>
        <w:rPr>
          <w:rFonts w:cs="Garamond" w:ascii="Garamond" w:hAnsi="Garamond"/>
          <w:sz w:val="24"/>
          <w:szCs w:val="24"/>
          <w:lang w:val="en-US"/>
        </w:rPr>
        <w:t>Rapp</w:t>
      </w:r>
      <w:r>
        <w:rPr>
          <w:rFonts w:cs="Garamond" w:ascii="Garamond" w:hAnsi="Garamond"/>
          <w:sz w:val="24"/>
          <w:szCs w:val="24"/>
        </w:rPr>
        <w:t xml:space="preserve">, 2008; </w:t>
      </w:r>
      <w:r>
        <w:rPr>
          <w:rFonts w:cs="Garamond" w:ascii="Garamond" w:hAnsi="Garamond"/>
          <w:sz w:val="24"/>
          <w:szCs w:val="24"/>
          <w:lang w:val="en-US"/>
        </w:rPr>
        <w:t>Lankester</w:t>
      </w:r>
      <w:r>
        <w:rPr>
          <w:rFonts w:cs="Garamond" w:ascii="Garamond" w:hAnsi="Garamond"/>
          <w:sz w:val="24"/>
          <w:szCs w:val="24"/>
        </w:rPr>
        <w:t xml:space="preserve">, 2013], хотя в соответствующие периоды (например, при </w:t>
      </w:r>
      <w:r>
        <w:rPr>
          <w:rFonts w:cs="Garamond" w:ascii="Garamond" w:hAnsi="Garamond"/>
          <w:sz w:val="24"/>
          <w:szCs w:val="24"/>
          <w:lang w:val="en-US"/>
        </w:rPr>
        <w:t>VI</w:t>
      </w:r>
      <w:r>
        <w:rPr>
          <w:rFonts w:cs="Garamond" w:ascii="Garamond" w:hAnsi="Garamond"/>
          <w:sz w:val="24"/>
          <w:szCs w:val="24"/>
        </w:rPr>
        <w:t xml:space="preserve"> династии, когда Египет Старого царства уже ощущал на себе пагубное влияние начавшегося в </w:t>
      </w:r>
      <w:r>
        <w:rPr>
          <w:rFonts w:cs="Garamond" w:ascii="Garamond" w:hAnsi="Garamond"/>
          <w:sz w:val="24"/>
          <w:szCs w:val="24"/>
          <w:lang w:val="en-US"/>
        </w:rPr>
        <w:t>XXIV</w:t>
      </w:r>
      <w:r>
        <w:rPr>
          <w:rFonts w:cs="Garamond" w:ascii="Garamond" w:hAnsi="Garamond"/>
          <w:sz w:val="24"/>
          <w:szCs w:val="24"/>
        </w:rPr>
        <w:t xml:space="preserve"> в. до н. э. глобального похолодания с прогрессирующим иссушением нильского бассейна [Клименко, Прусаков, </w:t>
      </w:r>
      <w:r>
        <w:rPr>
          <w:rFonts w:cs="Garamond" w:ascii="Garamond" w:hAnsi="Garamond"/>
          <w:iCs/>
          <w:sz w:val="24"/>
          <w:szCs w:val="24"/>
        </w:rPr>
        <w:t>1999</w:t>
      </w:r>
      <w:r>
        <w:rPr>
          <w:rFonts w:cs="Garamond" w:ascii="Garamond" w:hAnsi="Garamond"/>
          <w:sz w:val="24"/>
          <w:szCs w:val="24"/>
        </w:rPr>
        <w:t>]) водных артерий там не могло быть априори; очевидно, упоминаемые «капитаны» (или корабельные «инспекторы», «смотрители» и «начальники команд», ср.: [Лебедев, 2015]) участвовали в походах «за материалами» в глубь пустынь не как судоводители, а как распорядители «передвижения тяжестей по суше» и «других работ, требовавших совместных усилий значительного числа людей» [Перепелкин, 1988]. Петроглифы лодок фараоновской эпохи, сопровождавшие наскальные надписи в Восточной пустыне, в противоположность гумидной, обильной дождями и поверхностными водами додинастике (парадокс) предлагалось трактовать уже не в «ритуальном», а в сугубо «утилитарном» контексте: например, «концентрация лодочных изображений династического времени в Вади Абу Му Авад… может рассматриваться как указатель путей к золотым копям» (Нового царства [</w:t>
      </w:r>
      <w:r>
        <w:rPr>
          <w:rFonts w:cs="Garamond" w:ascii="Garamond" w:hAnsi="Garamond"/>
          <w:sz w:val="24"/>
          <w:szCs w:val="24"/>
          <w:lang w:val="en-US"/>
        </w:rPr>
        <w:t>Rothe</w:t>
      </w:r>
      <w:r>
        <w:rPr>
          <w:rFonts w:cs="Garamond" w:ascii="Garamond" w:hAnsi="Garamond"/>
          <w:sz w:val="24"/>
          <w:szCs w:val="24"/>
        </w:rPr>
        <w:t xml:space="preserve">, </w:t>
      </w:r>
      <w:r>
        <w:rPr>
          <w:rFonts w:cs="Garamond" w:ascii="Garamond" w:hAnsi="Garamond"/>
          <w:sz w:val="24"/>
          <w:szCs w:val="24"/>
          <w:lang w:val="en-US"/>
        </w:rPr>
        <w:t>Miller</w:t>
      </w:r>
      <w:r>
        <w:rPr>
          <w:rFonts w:cs="Garamond" w:ascii="Garamond" w:hAnsi="Garamond"/>
          <w:sz w:val="24"/>
          <w:szCs w:val="24"/>
        </w:rPr>
        <w:t xml:space="preserve">, </w:t>
      </w:r>
      <w:r>
        <w:rPr>
          <w:rFonts w:cs="Garamond" w:ascii="Garamond" w:hAnsi="Garamond"/>
          <w:sz w:val="24"/>
          <w:szCs w:val="24"/>
          <w:lang w:val="en-US"/>
        </w:rPr>
        <w:t>Rapp</w:t>
      </w:r>
      <w:r>
        <w:rPr>
          <w:rFonts w:cs="Garamond" w:ascii="Garamond" w:hAnsi="Garamond"/>
          <w:sz w:val="24"/>
          <w:szCs w:val="24"/>
        </w:rPr>
        <w:t>, 2008]); эти ладьи якобы могли также служить «эмблемами рабочих отрядов», символизировать переходы корабельных экипажей из Египта на красноморское побережье и обратно, напоминать о плаваниях египтян в далекий Пунт и т. п. [</w:t>
      </w:r>
      <w:r>
        <w:rPr>
          <w:rFonts w:cs="Garamond" w:ascii="Garamond" w:hAnsi="Garamond"/>
          <w:sz w:val="24"/>
          <w:szCs w:val="24"/>
          <w:lang w:val="en-US"/>
        </w:rPr>
        <w:t>Lankester</w:t>
      </w:r>
      <w:r>
        <w:rPr>
          <w:rFonts w:cs="Garamond" w:ascii="Garamond" w:hAnsi="Garamond"/>
          <w:sz w:val="24"/>
          <w:szCs w:val="24"/>
        </w:rPr>
        <w:t>, 2012; 2013].</w:t>
      </w:r>
    </w:p>
    <w:p>
      <w:pPr>
        <w:pStyle w:val="Normal"/>
        <w:autoSpaceDE w:val="false"/>
        <w:ind w:end="-31" w:firstLine="720"/>
        <w:jc w:val="both"/>
        <w:rPr/>
      </w:pPr>
      <w:r>
        <w:rPr>
          <w:rFonts w:cs="Garamond" w:ascii="Garamond" w:hAnsi="Garamond"/>
          <w:sz w:val="24"/>
          <w:szCs w:val="24"/>
        </w:rPr>
        <w:t>Как бы то ни было, в реальной действительности отнюдь не все пересохшие русла интересующего нас региона вели «героев» к местам промысла и добычи или годились для «эпического путешествия через пустыню» [</w:t>
      </w:r>
      <w:r>
        <w:rPr>
          <w:rFonts w:cs="Garamond" w:ascii="Garamond" w:hAnsi="Garamond"/>
          <w:sz w:val="24"/>
          <w:szCs w:val="24"/>
          <w:lang w:val="en-US"/>
        </w:rPr>
        <w:t>Wilson</w:t>
      </w:r>
      <w:r>
        <w:rPr>
          <w:rFonts w:cs="Garamond" w:ascii="Garamond" w:hAnsi="Garamond"/>
          <w:sz w:val="24"/>
          <w:szCs w:val="24"/>
        </w:rPr>
        <w:t>, 2003]; некоторые из них заводят изыскателя буквально в тупик. Так, узкое и каменистое Вади Атвани, отходящее от Вади Хаммамат на север/северо-восток и упирающееся в валунное поле, не являлось «дорогой к сколько-нибудь важному пункту назначения в Восточной пустыне и, по-видимому, по этой причине во времена фараонов не использовалось»; ни изобразительные, ни текстовые граффити той поры здесь не найдены («нет вообще никаких признаков фараоновского присутствия»), но наличествуют обычные для изучаемого района первобытные петроглифы лодок (по имеющимся данным, 23 рисунка на 8 местонахождениях, не менее 9 «прямоугольных» ладей), слонов (включая две редчайшие сцены охоты на них) и крокодилов (последние в стиле росписи керамики додинастической культуры Нагада) [</w:t>
      </w:r>
      <w:r>
        <w:rPr>
          <w:rFonts w:cs="Garamond" w:ascii="Garamond" w:hAnsi="Garamond"/>
          <w:sz w:val="24"/>
          <w:szCs w:val="24"/>
          <w:lang w:val="en-US"/>
        </w:rPr>
        <w:t>Lankester</w:t>
      </w:r>
      <w:r>
        <w:rPr>
          <w:rFonts w:cs="Garamond" w:ascii="Garamond" w:hAnsi="Garamond"/>
          <w:sz w:val="24"/>
          <w:szCs w:val="24"/>
        </w:rPr>
        <w:t>, 2012].</w:t>
      </w:r>
    </w:p>
    <w:p>
      <w:pPr>
        <w:pStyle w:val="Normal"/>
        <w:autoSpaceDE w:val="false"/>
        <w:ind w:end="-31" w:firstLine="720"/>
        <w:jc w:val="both"/>
        <w:rPr/>
      </w:pPr>
      <w:r>
        <w:rPr>
          <w:rFonts w:cs="Garamond" w:ascii="Garamond" w:hAnsi="Garamond"/>
          <w:sz w:val="24"/>
          <w:szCs w:val="24"/>
        </w:rPr>
        <w:t>«В никуда», по выражению Ф.</w:t>
      </w:r>
      <w:r>
        <w:rPr>
          <w:rFonts w:cs="Garamond" w:ascii="Garamond" w:hAnsi="Garamond"/>
          <w:sz w:val="24"/>
          <w:szCs w:val="24"/>
          <w:lang w:val="en-US"/>
        </w:rPr>
        <w:t> </w:t>
      </w:r>
      <w:r>
        <w:rPr>
          <w:rFonts w:cs="Garamond" w:ascii="Garamond" w:hAnsi="Garamond"/>
          <w:sz w:val="24"/>
          <w:szCs w:val="24"/>
        </w:rPr>
        <w:t xml:space="preserve">Ланкестера, ведет и Вади Умм Салам, один из северных, сравнительно непротяженных (порядка 10 км) рукавов системы Баррамийа. Как ни странно, в нем обнаружено </w:t>
      </w:r>
      <w:r>
        <w:rPr>
          <w:rFonts w:cs="Garamond" w:ascii="Garamond" w:hAnsi="Garamond"/>
          <w:i/>
          <w:sz w:val="24"/>
          <w:szCs w:val="24"/>
        </w:rPr>
        <w:t>максимальное</w:t>
      </w:r>
      <w:r>
        <w:rPr>
          <w:rFonts w:cs="Garamond" w:ascii="Garamond" w:hAnsi="Garamond"/>
          <w:sz w:val="24"/>
          <w:szCs w:val="24"/>
        </w:rPr>
        <w:t xml:space="preserve"> для восточных вади Египта количество петроглифических «сайтов» и, в частности, изображений доисторических «прямоугольных» лодок — 46 и не менее 113, соответственно; в этом ему уступает самò Вади Баррамийа — 39 и не менее 102, причем в обоих руслах зафиксирован также максимум рисунков указанных судов с командами в виде вертикальных штрихов. Кроме того, Вади Умм Салам, прозванное участниками экспедиций </w:t>
      </w:r>
      <w:r>
        <w:rPr>
          <w:rFonts w:cs="Garamond" w:ascii="Garamond" w:hAnsi="Garamond"/>
          <w:sz w:val="24"/>
          <w:szCs w:val="24"/>
          <w:lang w:val="en-US"/>
        </w:rPr>
        <w:t>EDS</w:t>
      </w:r>
      <w:r>
        <w:rPr>
          <w:rFonts w:cs="Garamond" w:ascii="Garamond" w:hAnsi="Garamond"/>
          <w:sz w:val="24"/>
          <w:szCs w:val="24"/>
        </w:rPr>
        <w:t>, исходя из личных наблюдений, «каньоном лодок» [</w:t>
      </w:r>
      <w:r>
        <w:rPr>
          <w:rFonts w:cs="Garamond" w:ascii="Garamond" w:hAnsi="Garamond"/>
          <w:sz w:val="24"/>
          <w:szCs w:val="24"/>
          <w:lang w:val="en-US"/>
        </w:rPr>
        <w:t>Wilkinson</w:t>
      </w:r>
      <w:r>
        <w:rPr>
          <w:rFonts w:cs="Garamond" w:ascii="Garamond" w:hAnsi="Garamond"/>
          <w:sz w:val="24"/>
          <w:szCs w:val="24"/>
        </w:rPr>
        <w:t>, 2003], лидирует по количеству петроглифов большинства представленных ими животных, включая гиппопотамов и жирафов. Однако именно потому, что Умм Салам не приводит «ни к копям, ни к Красному морю», феномен его богатейшей петроглифики как всевозможной фауны, так и древнейших водных средств передвижения те же исследователи объясняли не естественноисторическими обстоятельствами, а мыслившейся единственно приемлемой еще П. Червичеку «религиозной причиной» [Č</w:t>
      </w:r>
      <w:r>
        <w:rPr>
          <w:rFonts w:cs="Garamond" w:ascii="Garamond" w:hAnsi="Garamond"/>
          <w:sz w:val="24"/>
          <w:szCs w:val="24"/>
          <w:lang w:val="en-US"/>
        </w:rPr>
        <w:t>ervi</w:t>
      </w:r>
      <w:r>
        <w:rPr>
          <w:rFonts w:cs="Garamond" w:ascii="Garamond" w:hAnsi="Garamond"/>
          <w:sz w:val="24"/>
          <w:szCs w:val="24"/>
        </w:rPr>
        <w:t>č</w:t>
      </w:r>
      <w:r>
        <w:rPr>
          <w:rFonts w:cs="Garamond" w:ascii="Garamond" w:hAnsi="Garamond"/>
          <w:sz w:val="24"/>
          <w:szCs w:val="24"/>
          <w:lang w:val="en-US"/>
        </w:rPr>
        <w:t>ek</w:t>
      </w:r>
      <w:r>
        <w:rPr>
          <w:rFonts w:cs="Garamond" w:ascii="Garamond" w:hAnsi="Garamond"/>
          <w:sz w:val="24"/>
          <w:szCs w:val="24"/>
        </w:rPr>
        <w:t xml:space="preserve">, 1986; </w:t>
      </w:r>
      <w:r>
        <w:rPr>
          <w:rFonts w:cs="Garamond" w:ascii="Garamond" w:hAnsi="Garamond"/>
          <w:sz w:val="24"/>
          <w:szCs w:val="24"/>
          <w:lang w:val="en-US"/>
        </w:rPr>
        <w:t>Lankester</w:t>
      </w:r>
      <w:r>
        <w:rPr>
          <w:rFonts w:cs="Garamond" w:ascii="Garamond" w:hAnsi="Garamond"/>
          <w:sz w:val="24"/>
          <w:szCs w:val="24"/>
        </w:rPr>
        <w:t>, 2012; 2013]. В любом случае не вызывает сомнений, что изображенные столь далеко от «какой-либо судоходной воды» лодки «имели огромное значение для людей, которые их нарисовали» [</w:t>
      </w:r>
      <w:r>
        <w:rPr>
          <w:rFonts w:cs="Garamond" w:ascii="Garamond" w:hAnsi="Garamond"/>
          <w:sz w:val="24"/>
          <w:szCs w:val="24"/>
          <w:lang w:val="en-US"/>
        </w:rPr>
        <w:t>Judd</w:t>
      </w:r>
      <w:r>
        <w:rPr>
          <w:rFonts w:cs="Garamond" w:ascii="Garamond" w:hAnsi="Garamond"/>
          <w:sz w:val="24"/>
          <w:szCs w:val="24"/>
        </w:rPr>
        <w:t>, 2010].</w:t>
      </w:r>
    </w:p>
    <w:p>
      <w:pPr>
        <w:pStyle w:val="Normal"/>
        <w:autoSpaceDE w:val="false"/>
        <w:ind w:end="-31" w:firstLine="720"/>
        <w:jc w:val="both"/>
        <w:rPr/>
      </w:pPr>
      <w:r>
        <w:rPr>
          <w:rFonts w:cs="Garamond" w:ascii="Garamond" w:hAnsi="Garamond"/>
          <w:sz w:val="24"/>
          <w:szCs w:val="24"/>
        </w:rPr>
        <w:t>Вади Умм Салам, между тем, ведет не совсем «в никуда»: выше его истока, как заметил и сам Ф. Ланкестер, расстилается «то, что может быть дном пересохшего озера» [</w:t>
      </w:r>
      <w:r>
        <w:rPr>
          <w:rFonts w:cs="Garamond" w:ascii="Garamond" w:hAnsi="Garamond"/>
          <w:sz w:val="24"/>
          <w:szCs w:val="24"/>
          <w:lang w:val="en-US"/>
        </w:rPr>
        <w:t>Lankester</w:t>
      </w:r>
      <w:r>
        <w:rPr>
          <w:rFonts w:cs="Garamond" w:ascii="Garamond" w:hAnsi="Garamond"/>
          <w:sz w:val="24"/>
          <w:szCs w:val="24"/>
        </w:rPr>
        <w:t>, 2012] (</w:t>
      </w:r>
      <w:r>
        <w:rPr>
          <w:rFonts w:cs="Garamond" w:ascii="Garamond" w:hAnsi="Garamond"/>
          <w:i/>
          <w:sz w:val="24"/>
          <w:szCs w:val="24"/>
        </w:rPr>
        <w:t>илл. 8</w:t>
      </w:r>
      <w:r>
        <w:rPr>
          <w:rFonts w:cs="Garamond" w:ascii="Garamond" w:hAnsi="Garamond"/>
          <w:sz w:val="24"/>
          <w:szCs w:val="24"/>
        </w:rPr>
        <w:t xml:space="preserve">). Еще одна яркая «достопримечательность» этого вади — так называемое «джакузи», местонахождение </w:t>
      </w:r>
      <w:r>
        <w:rPr>
          <w:rFonts w:cs="Garamond" w:ascii="Garamond" w:hAnsi="Garamond"/>
          <w:sz w:val="24"/>
          <w:szCs w:val="24"/>
          <w:lang w:val="en-US"/>
        </w:rPr>
        <w:t>SAL</w:t>
      </w:r>
      <w:r>
        <w:rPr>
          <w:rFonts w:cs="Garamond" w:ascii="Garamond" w:hAnsi="Garamond"/>
          <w:sz w:val="24"/>
          <w:szCs w:val="24"/>
        </w:rPr>
        <w:t>-14 с круглой крутой впадиной диаметром около 3 м и глубиной 2 м (</w:t>
      </w:r>
      <w:r>
        <w:rPr>
          <w:rFonts w:cs="Garamond" w:ascii="Garamond" w:hAnsi="Garamond"/>
          <w:i/>
          <w:sz w:val="24"/>
          <w:szCs w:val="24"/>
        </w:rPr>
        <w:t>илл. 9</w:t>
      </w:r>
      <w:r>
        <w:rPr>
          <w:rFonts w:cs="Garamond" w:ascii="Garamond" w:hAnsi="Garamond"/>
          <w:sz w:val="24"/>
          <w:szCs w:val="24"/>
        </w:rPr>
        <w:t>), образованной предположительно «водоворотом в потоке с быстрым течением» [</w:t>
      </w:r>
      <w:r>
        <w:rPr>
          <w:rFonts w:cs="Garamond" w:ascii="Garamond" w:hAnsi="Garamond"/>
          <w:sz w:val="24"/>
          <w:szCs w:val="24"/>
          <w:lang w:val="en-US"/>
        </w:rPr>
        <w:t>Judd</w:t>
      </w:r>
      <w:r>
        <w:rPr>
          <w:rFonts w:cs="Garamond" w:ascii="Garamond" w:hAnsi="Garamond"/>
          <w:sz w:val="24"/>
          <w:szCs w:val="24"/>
        </w:rPr>
        <w:t>, 2010] и вызывающей ассоциацию с карстовой воронкой на южном краю острова Элефантина, промытой многоводным Нилом гумидной эпохи неолита</w:t>
      </w:r>
      <w:r>
        <w:rPr>
          <w:rStyle w:val="Style10"/>
          <w:rStyle w:val="Style17"/>
          <w:rFonts w:cs="Garamond" w:ascii="Garamond" w:hAnsi="Garamond"/>
          <w:sz w:val="24"/>
          <w:szCs w:val="24"/>
        </w:rPr>
        <w:footnoteReference w:id="11"/>
      </w:r>
      <w:r>
        <w:rPr>
          <w:rFonts w:cs="Garamond" w:ascii="Garamond" w:hAnsi="Garamond"/>
          <w:sz w:val="24"/>
          <w:szCs w:val="24"/>
        </w:rPr>
        <w:t>, ближе к концу которой в Восточной пустыне, вероятно, появились наскальные рисунки «экзотических» лодок [Прусаков, 2020б]. Умм Салам с узким и не слишком извилистым руслом, выходящим из озерного резервуара, едва ли пустовавшего в условиях регулярных ливней «африканского влажного периода», представляет собой своего рода геоморфологический довод в пользу идеи о «неолитических» реках — постоянных нильских притоках в верхнеегипетских вади времен массового изображения здесь больших «прямоугольных» ладей. Добавлю, что, по данным Р. Роте, в Вади Абу Васил, удаленном южном ответвлении системы Вади Хаммамат, за высокой песчаной дюной неустановленного возраста, служившей природной дамбой и до сих пор мешающей проезду транспорта, также могло накапливаться дождевое озеро протяженностью до 3 км [</w:t>
      </w:r>
      <w:r>
        <w:rPr>
          <w:rFonts w:cs="Garamond" w:ascii="Garamond" w:hAnsi="Garamond"/>
          <w:sz w:val="24"/>
          <w:szCs w:val="24"/>
          <w:lang w:val="en-US"/>
        </w:rPr>
        <w:t>Lankester</w:t>
      </w:r>
      <w:r>
        <w:rPr>
          <w:rFonts w:cs="Garamond" w:ascii="Garamond" w:hAnsi="Garamond"/>
          <w:sz w:val="24"/>
          <w:szCs w:val="24"/>
        </w:rPr>
        <w:t xml:space="preserve">, 2012]; похоже, именно к нему и окружающим «хорошо обводненным плодородным долинам» был привязан знаменитый «сайт 26» Х. Винклера (он же </w:t>
      </w:r>
      <w:r>
        <w:rPr>
          <w:rFonts w:cs="Garamond" w:ascii="Garamond" w:hAnsi="Garamond"/>
          <w:sz w:val="24"/>
          <w:szCs w:val="24"/>
          <w:lang w:val="en-US"/>
        </w:rPr>
        <w:t>WAS</w:t>
      </w:r>
      <w:r>
        <w:rPr>
          <w:rFonts w:cs="Garamond" w:ascii="Garamond" w:hAnsi="Garamond"/>
          <w:sz w:val="24"/>
          <w:szCs w:val="24"/>
        </w:rPr>
        <w:t>-10), отличающийся одним из крупнейших и разнообразнейших скоплений доисторических петроглифов Восточной пустыни: множества животных, в том числе крокодила, жирафа, слонов, рогатого скота и собак; людей, вооруженных луками и арканами; и, главное, лодок, среди которых выделяется, наверное, самый узнаваемый из наскальных рисунков Египта: «прямоугольная» ладья со стоящими в ней гигантскими антропоморфными существами, увенчанными антенноподобными плюмажами [</w:t>
      </w:r>
      <w:r>
        <w:rPr>
          <w:rFonts w:cs="Garamond" w:ascii="Garamond" w:hAnsi="Garamond"/>
          <w:sz w:val="24"/>
          <w:szCs w:val="24"/>
          <w:lang w:val="en-US"/>
        </w:rPr>
        <w:t>Winkler</w:t>
      </w:r>
      <w:r>
        <w:rPr>
          <w:rFonts w:cs="Garamond" w:ascii="Garamond" w:hAnsi="Garamond"/>
          <w:sz w:val="24"/>
          <w:szCs w:val="24"/>
        </w:rPr>
        <w:t>, 1938–1939] (</w:t>
      </w:r>
      <w:r>
        <w:rPr>
          <w:rFonts w:cs="Garamond" w:ascii="Garamond" w:hAnsi="Garamond"/>
          <w:i/>
          <w:sz w:val="24"/>
          <w:szCs w:val="24"/>
        </w:rPr>
        <w:t>илл. 10</w:t>
      </w:r>
      <w:r>
        <w:rPr>
          <w:rFonts w:cs="Garamond" w:ascii="Garamond" w:hAnsi="Garamond"/>
          <w:sz w:val="24"/>
          <w:szCs w:val="24"/>
        </w:rPr>
        <w:t>). По изображениям «прямоугольных» лодок (не менее 51), как и петроглифических «сайтов» в целом (26), Вади Абу Васил занимает третье место после Умм Салам и Баррамийа; при этом в руслах, разрисованных доисторическими лодками, есть признаки того, что «в прошлом» по ним были перемещены — где-то смыты, где-то нанесены — мощной проточной водой «огромные количества» камней, гальки и песка, в результате чего, например, некоторые петроглифы в Вади Атвани сегодня находятся на «недосягаемой» для художника высоте, а в Вади Умм Салам, наоборот, «полузасыпаны» донными отложениями [</w:t>
      </w:r>
      <w:r>
        <w:rPr>
          <w:rFonts w:cs="Garamond" w:ascii="Garamond" w:hAnsi="Garamond"/>
          <w:sz w:val="24"/>
          <w:szCs w:val="24"/>
          <w:lang w:val="en-US"/>
        </w:rPr>
        <w:t>Judd</w:t>
      </w:r>
      <w:r>
        <w:rPr>
          <w:rFonts w:cs="Garamond" w:ascii="Garamond" w:hAnsi="Garamond"/>
          <w:sz w:val="24"/>
          <w:szCs w:val="24"/>
        </w:rPr>
        <w:t>, 2010].</w:t>
      </w:r>
    </w:p>
    <w:p>
      <w:pPr>
        <w:pStyle w:val="Normal"/>
        <w:autoSpaceDE w:val="false"/>
        <w:ind w:end="-31" w:hanging="0"/>
        <w:jc w:val="both"/>
        <w:rPr>
          <w:rFonts w:ascii="Garamond" w:hAnsi="Garamond" w:cs="Garamond"/>
          <w:sz w:val="16"/>
          <w:szCs w:val="16"/>
        </w:rPr>
      </w:pPr>
      <w:r>
        <w:rPr>
          <w:rFonts w:cs="Garamond" w:ascii="Garamond" w:hAnsi="Garamond"/>
          <w:sz w:val="16"/>
          <w:szCs w:val="16"/>
        </w:rPr>
      </w:r>
    </w:p>
    <w:p>
      <w:pPr>
        <w:pStyle w:val="Normal"/>
        <w:autoSpaceDE w:val="false"/>
        <w:ind w:end="-31" w:hanging="0"/>
        <w:jc w:val="both"/>
        <w:rPr>
          <w:rFonts w:ascii="Garamond" w:hAnsi="Garamond" w:cs="Garamond"/>
          <w:sz w:val="22"/>
          <w:szCs w:val="22"/>
          <w:shd w:fill="FFFFFF" w:val="clear"/>
        </w:rPr>
      </w:pPr>
      <w:r>
        <w:rPr>
          <w:rFonts w:cs="Garamond" w:ascii="Garamond" w:hAnsi="Garamond"/>
          <w:sz w:val="22"/>
          <w:szCs w:val="22"/>
          <w:shd w:fill="FFFFFF" w:val="clear"/>
        </w:rPr>
        <w:drawing>
          <wp:inline distT="0" distB="0" distL="0" distR="0">
            <wp:extent cx="5602605" cy="2843530"/>
            <wp:effectExtent l="0" t="0" r="0" b="0"/>
            <wp:docPr id="16" name="Изображение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0" descr="" title=""/>
                    <pic:cNvPicPr>
                      <a:picLocks noChangeAspect="1" noChangeArrowheads="1"/>
                    </pic:cNvPicPr>
                  </pic:nvPicPr>
                  <pic:blipFill>
                    <a:blip r:embed="rId14"/>
                    <a:srcRect l="-1" t="-1" r="-1" b="-1"/>
                    <a:stretch>
                      <a:fillRect/>
                    </a:stretch>
                  </pic:blipFill>
                  <pic:spPr bwMode="auto">
                    <a:xfrm>
                      <a:off x="0" y="0"/>
                      <a:ext cx="5602605" cy="2843530"/>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8.</w:t>
      </w:r>
      <w:r>
        <w:rPr>
          <w:rFonts w:cs="Garamond" w:ascii="Garamond" w:hAnsi="Garamond"/>
          <w:sz w:val="22"/>
          <w:szCs w:val="22"/>
        </w:rPr>
        <w:t xml:space="preserve"> Вади Умм Салам (внизу) (по: </w:t>
      </w:r>
      <w:r>
        <w:rPr>
          <w:rFonts w:cs="Garamond" w:ascii="Garamond" w:hAnsi="Garamond"/>
          <w:bCs/>
          <w:sz w:val="22"/>
          <w:szCs w:val="22"/>
          <w:shd w:fill="FFFFFF" w:val="clear"/>
        </w:rPr>
        <w:t xml:space="preserve">Wâdi Umm Salam: Egypt. </w:t>
      </w:r>
      <w:r>
        <w:rPr>
          <w:rFonts w:cs="Garamond" w:ascii="Garamond" w:hAnsi="Garamond"/>
          <w:bCs/>
          <w:i/>
          <w:sz w:val="22"/>
          <w:szCs w:val="22"/>
          <w:shd w:fill="FFFFFF" w:val="clear"/>
          <w:lang w:val="en-US"/>
        </w:rPr>
        <w:t>Geographical Names</w:t>
      </w:r>
      <w:r>
        <w:rPr>
          <w:rFonts w:cs="Garamond" w:ascii="Garamond" w:hAnsi="Garamond"/>
          <w:bCs/>
          <w:sz w:val="22"/>
          <w:szCs w:val="22"/>
          <w:shd w:fill="FFFFFF" w:val="clear"/>
          <w:lang w:val="en-US"/>
        </w:rPr>
        <w:t>.</w:t>
      </w:r>
      <w:r>
        <w:rPr>
          <w:rFonts w:cs="Garamond" w:ascii="Garamond" w:hAnsi="Garamond"/>
          <w:sz w:val="22"/>
          <w:szCs w:val="22"/>
          <w:lang w:val="en-US"/>
        </w:rPr>
        <w:t xml:space="preserve"> URL: https://geographic.org/geographic_names/name.php?uni=-475802&amp;fid=1616&amp;c=Egypt (</w:t>
      </w:r>
      <w:r>
        <w:rPr>
          <w:rFonts w:cs="Garamond" w:ascii="Garamond" w:hAnsi="Garamond"/>
          <w:sz w:val="22"/>
          <w:szCs w:val="22"/>
        </w:rPr>
        <w:t>дата</w:t>
      </w:r>
      <w:r>
        <w:rPr>
          <w:rFonts w:cs="Garamond" w:ascii="Garamond" w:hAnsi="Garamond"/>
          <w:sz w:val="22"/>
          <w:szCs w:val="22"/>
          <w:lang w:val="en-US"/>
        </w:rPr>
        <w:t xml:space="preserve"> </w:t>
      </w:r>
      <w:r>
        <w:rPr>
          <w:rFonts w:cs="Garamond" w:ascii="Garamond" w:hAnsi="Garamond"/>
          <w:sz w:val="22"/>
          <w:szCs w:val="22"/>
        </w:rPr>
        <w:t>обращения</w:t>
      </w:r>
      <w:r>
        <w:rPr>
          <w:rFonts w:cs="Garamond" w:ascii="Garamond" w:hAnsi="Garamond"/>
          <w:sz w:val="22"/>
          <w:szCs w:val="22"/>
          <w:lang w:val="en-US"/>
        </w:rPr>
        <w:t xml:space="preserve"> 04.12.2020))</w:t>
      </w:r>
    </w:p>
    <w:p>
      <w:pPr>
        <w:pStyle w:val="Normal"/>
        <w:autoSpaceDE w:val="false"/>
        <w:ind w:end="-31" w:hanging="0"/>
        <w:jc w:val="both"/>
        <w:rPr>
          <w:rFonts w:ascii="Garamond" w:hAnsi="Garamond" w:cs="Garamond"/>
          <w:sz w:val="16"/>
          <w:szCs w:val="16"/>
          <w:lang w:val="en-US"/>
        </w:rPr>
      </w:pPr>
      <w:r>
        <w:rPr>
          <w:rFonts w:cs="Garamond" w:ascii="Garamond" w:hAnsi="Garamond"/>
          <w:sz w:val="16"/>
          <w:szCs w:val="16"/>
          <w:lang w:val="en-US"/>
        </w:rPr>
      </w:r>
    </w:p>
    <w:p>
      <w:pPr>
        <w:pStyle w:val="Normal"/>
        <w:autoSpaceDE w:val="false"/>
        <w:ind w:end="-31" w:firstLine="720"/>
        <w:jc w:val="both"/>
        <w:rPr/>
      </w:pPr>
      <w:r>
        <w:rPr>
          <w:rFonts w:cs="Garamond" w:ascii="Garamond" w:hAnsi="Garamond"/>
          <w:sz w:val="24"/>
          <w:szCs w:val="24"/>
        </w:rPr>
        <w:t xml:space="preserve">Итак, нельзя отрицать, что Восточная пустыня Египта, и конкретно смежные бассейны разветвленных многорусловых Вади Хаммамат и Вади Баррамийа, спускающихся со склонов Этбая, располагают идеальными геоморфологическими условиями для протекания малых и средних рек, а климат додинастической эпохи, с высоким количеством атмосферных осадков и уровнем грунтовых вод, мог только благоприятствовать их образованию и длительному существованию с частичным или полным охватом периода первобытной петроглифики. Запечатленные в ней огромные «прямоугольные» лодки, если они имели реальные прообразы в отсутствие заморской «династической расы» завоевателей Египта, очевидно, были органически ориентированы на Нил, причем, полагаю, прежде всего в связи с его тогдашней многоводностью и, как гипотеза, «среднеегипетским морем», морфометрически близким «великому» африканскому озеру Альберт [Прусаков, 2018б] и гарантированно проходимым, в частности, для подобных бунтовых судовых конструкций (см.: [Прусаков, 2015]). Историческим контекстом появления таких ладей в Египте, предварительно, мог быть сдвиг местных «вождеств» к территориальному расширению с последующим объединением страны, предполагавшим навигационное овладение Нилом, чья экстремально затопленная как в разлив, так и в межень, непригодная для сплошного заселения додинастическая долина, по моему допущению, изначально колонизировалась «не пешим порядком по суше, а </w:t>
      </w:r>
      <w:r>
        <w:rPr>
          <w:rFonts w:cs="Garamond" w:ascii="Garamond" w:hAnsi="Garamond"/>
          <w:i/>
          <w:sz w:val="24"/>
          <w:szCs w:val="24"/>
        </w:rPr>
        <w:t>с реки</w:t>
      </w:r>
      <w:r>
        <w:rPr>
          <w:rFonts w:cs="Garamond" w:ascii="Garamond" w:hAnsi="Garamond"/>
          <w:sz w:val="24"/>
          <w:szCs w:val="24"/>
        </w:rPr>
        <w:t xml:space="preserve"> экипажами крупных лодок, размеры которых, вероятно, диктовались именно соответствующей потребностью перевозить большие отряды воинов, охотников и рабочей силы» [Прусаков, 2001а]. В значительной мере способствовав технически государствогенезу на его стартовом этапе, «прямоугольная» ладья древнейших египтян уже хотя бы по этой причине заслуживала обожествления в эпоху фараонов. И едва ли случайно, что устья «лодочных» Вади Хаммамат и Вади Баррамийа лежали в пределах «протоцарств» Верхнего Египта с «зародышевыми городами» Нагадой и Иераконполем, откуда, как принято считать, исходила герзейская (периода Нагада </w:t>
      </w:r>
      <w:r>
        <w:rPr>
          <w:rFonts w:cs="Garamond" w:ascii="Garamond" w:hAnsi="Garamond"/>
          <w:sz w:val="24"/>
          <w:szCs w:val="24"/>
          <w:lang w:val="en-US"/>
        </w:rPr>
        <w:t>II</w:t>
      </w:r>
      <w:r>
        <w:rPr>
          <w:rFonts w:cs="Garamond" w:ascii="Garamond" w:hAnsi="Garamond"/>
          <w:sz w:val="24"/>
          <w:szCs w:val="24"/>
        </w:rPr>
        <w:t>) «военная экспансия, которая охватила весь Египет» и привела к его государственной централизации (см.: [</w:t>
      </w:r>
      <w:r>
        <w:rPr>
          <w:rFonts w:cs="Garamond" w:ascii="Garamond" w:hAnsi="Garamond"/>
          <w:sz w:val="24"/>
          <w:szCs w:val="24"/>
          <w:lang w:val="en-US"/>
        </w:rPr>
        <w:t>Kemp</w:t>
      </w:r>
      <w:r>
        <w:rPr>
          <w:rFonts w:cs="Garamond" w:ascii="Garamond" w:hAnsi="Garamond"/>
          <w:sz w:val="24"/>
          <w:szCs w:val="24"/>
        </w:rPr>
        <w:t>, 1989])… Комплексная проблема «лодки у истоков цивилизации» требует дальнейшего исследования.</w:t>
      </w:r>
    </w:p>
    <w:p>
      <w:pPr>
        <w:pStyle w:val="Normal"/>
        <w:autoSpaceDE w:val="false"/>
        <w:ind w:end="-31" w:hanging="0"/>
        <w:jc w:val="both"/>
        <w:rPr>
          <w:rFonts w:ascii="Garamond" w:hAnsi="Garamond" w:cs="Garamond"/>
          <w:sz w:val="16"/>
          <w:szCs w:val="16"/>
        </w:rPr>
      </w:pPr>
      <w:r>
        <w:rPr>
          <w:rFonts w:cs="Garamond" w:ascii="Garamond" w:hAnsi="Garamond"/>
          <w:sz w:val="16"/>
          <w:szCs w:val="16"/>
        </w:rPr>
      </w:r>
    </w:p>
    <w:tbl>
      <w:tblPr>
        <w:tblW w:w="8928" w:type="dxa"/>
        <w:jc w:val="start"/>
        <w:tblInd w:w="-108" w:type="dxa"/>
        <w:tblLayout w:type="fixed"/>
        <w:tblCellMar>
          <w:top w:w="0" w:type="dxa"/>
          <w:start w:w="108" w:type="dxa"/>
          <w:bottom w:w="0" w:type="dxa"/>
          <w:end w:w="108" w:type="dxa"/>
        </w:tblCellMar>
      </w:tblPr>
      <w:tblGrid>
        <w:gridCol w:w="2808"/>
        <w:gridCol w:w="6120"/>
      </w:tblGrid>
      <w:tr>
        <w:trPr/>
        <w:tc>
          <w:tcPr>
            <w:tcW w:w="2808" w:type="dxa"/>
            <w:tcBorders/>
          </w:tcPr>
          <w:p>
            <w:pPr>
              <w:pStyle w:val="Normal"/>
              <w:autoSpaceDE w:val="false"/>
              <w:ind w:end="-31" w:hanging="0"/>
              <w:jc w:val="both"/>
              <w:rPr>
                <w:rFonts w:ascii="Garamond" w:hAnsi="Garamond" w:cs="Garamond"/>
                <w:sz w:val="24"/>
                <w:szCs w:val="24"/>
              </w:rPr>
            </w:pPr>
            <w:r>
              <w:rPr>
                <w:rFonts w:cs="Garamond" w:ascii="Garamond" w:hAnsi="Garamond"/>
                <w:sz w:val="24"/>
                <w:szCs w:val="24"/>
              </w:rPr>
              <w:drawing>
                <wp:inline distT="0" distB="0" distL="0" distR="0">
                  <wp:extent cx="1764665" cy="2865120"/>
                  <wp:effectExtent l="0" t="0" r="0" b="0"/>
                  <wp:docPr id="17" name="Изображение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1" descr="" title=""/>
                          <pic:cNvPicPr>
                            <a:picLocks noChangeAspect="1" noChangeArrowheads="1"/>
                          </pic:cNvPicPr>
                        </pic:nvPicPr>
                        <pic:blipFill>
                          <a:blip r:embed="rId15"/>
                          <a:srcRect l="-31" t="-20" r="-31" b="-6203"/>
                          <a:stretch>
                            <a:fillRect/>
                          </a:stretch>
                        </pic:blipFill>
                        <pic:spPr bwMode="auto">
                          <a:xfrm>
                            <a:off x="0" y="0"/>
                            <a:ext cx="1764665" cy="2865120"/>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9.</w:t>
            </w:r>
            <w:r>
              <w:rPr>
                <w:rFonts w:cs="Garamond" w:ascii="Garamond" w:hAnsi="Garamond"/>
                <w:sz w:val="22"/>
                <w:szCs w:val="22"/>
              </w:rPr>
              <w:t xml:space="preserve"> Вади Умм Салам: «джакузи» (</w:t>
            </w:r>
            <w:r>
              <w:rPr>
                <w:rFonts w:cs="Garamond" w:ascii="Garamond" w:hAnsi="Garamond"/>
                <w:sz w:val="22"/>
                <w:szCs w:val="22"/>
                <w:lang w:val="en-US"/>
              </w:rPr>
              <w:t>SAL</w:t>
            </w:r>
            <w:r>
              <w:rPr>
                <w:rFonts w:cs="Garamond" w:ascii="Garamond" w:hAnsi="Garamond"/>
                <w:sz w:val="22"/>
                <w:szCs w:val="22"/>
              </w:rPr>
              <w:t>-14)</w:t>
            </w:r>
          </w:p>
          <w:p>
            <w:pPr>
              <w:pStyle w:val="Normal"/>
              <w:autoSpaceDE w:val="false"/>
              <w:ind w:end="-31" w:hanging="0"/>
              <w:jc w:val="center"/>
              <w:rPr>
                <w:rFonts w:ascii="Garamond" w:hAnsi="Garamond" w:cs="Garamond"/>
                <w:sz w:val="24"/>
                <w:szCs w:val="24"/>
              </w:rPr>
            </w:pPr>
            <w:r>
              <w:rPr>
                <w:rFonts w:cs="Garamond" w:ascii="Garamond" w:hAnsi="Garamond"/>
                <w:sz w:val="22"/>
                <w:szCs w:val="22"/>
              </w:rPr>
              <w:t>(по: [</w:t>
            </w:r>
            <w:r>
              <w:rPr>
                <w:rFonts w:cs="Garamond" w:ascii="Garamond" w:hAnsi="Garamond"/>
                <w:sz w:val="22"/>
                <w:szCs w:val="22"/>
                <w:lang w:val="en-US"/>
              </w:rPr>
              <w:t>Judd</w:t>
            </w:r>
            <w:r>
              <w:rPr>
                <w:rFonts w:cs="Garamond" w:ascii="Garamond" w:hAnsi="Garamond"/>
                <w:sz w:val="22"/>
                <w:szCs w:val="22"/>
              </w:rPr>
              <w:t xml:space="preserve">, 2010, </w:t>
            </w:r>
            <w:r>
              <w:rPr>
                <w:rFonts w:cs="Garamond" w:ascii="Garamond" w:hAnsi="Garamond"/>
                <w:sz w:val="22"/>
                <w:szCs w:val="22"/>
                <w:lang w:val="en-US"/>
              </w:rPr>
              <w:t>fig</w:t>
            </w:r>
            <w:r>
              <w:rPr>
                <w:rFonts w:cs="Garamond" w:ascii="Garamond" w:hAnsi="Garamond"/>
                <w:sz w:val="22"/>
                <w:szCs w:val="22"/>
              </w:rPr>
              <w:t>. 10])</w:t>
            </w:r>
          </w:p>
        </w:tc>
        <w:tc>
          <w:tcPr>
            <w:tcW w:w="6120" w:type="dxa"/>
            <w:tcBorders/>
          </w:tcPr>
          <w:p>
            <w:pPr>
              <w:pStyle w:val="Normal"/>
              <w:autoSpaceDE w:val="false"/>
              <w:ind w:end="-31" w:hanging="0"/>
              <w:jc w:val="both"/>
              <w:rPr>
                <w:rFonts w:ascii="Garamond" w:hAnsi="Garamond" w:cs="Garamond"/>
                <w:sz w:val="24"/>
                <w:szCs w:val="24"/>
              </w:rPr>
            </w:pPr>
            <w:r>
              <w:rPr>
                <w:rFonts w:cs="Garamond" w:ascii="Garamond" w:hAnsi="Garamond"/>
                <w:sz w:val="24"/>
                <w:szCs w:val="24"/>
              </w:rPr>
              <w:drawing>
                <wp:inline distT="0" distB="0" distL="0" distR="0">
                  <wp:extent cx="3935730" cy="2846705"/>
                  <wp:effectExtent l="0" t="0" r="0" b="0"/>
                  <wp:docPr id="18" name="Изображение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2" descr="" title=""/>
                          <pic:cNvPicPr>
                            <a:picLocks noChangeAspect="1" noChangeArrowheads="1"/>
                          </pic:cNvPicPr>
                        </pic:nvPicPr>
                        <pic:blipFill>
                          <a:blip r:embed="rId16"/>
                          <a:srcRect l="-1" t="-1" r="-1" b="-1"/>
                          <a:stretch>
                            <a:fillRect/>
                          </a:stretch>
                        </pic:blipFill>
                        <pic:spPr bwMode="auto">
                          <a:xfrm>
                            <a:off x="0" y="0"/>
                            <a:ext cx="3935730" cy="2846705"/>
                          </a:xfrm>
                          <a:prstGeom prst="rect">
                            <a:avLst/>
                          </a:prstGeom>
                        </pic:spPr>
                      </pic:pic>
                    </a:graphicData>
                  </a:graphic>
                </wp:inline>
              </w:drawing>
            </w:r>
          </w:p>
          <w:p>
            <w:pPr>
              <w:pStyle w:val="Normal"/>
              <w:autoSpaceDE w:val="false"/>
              <w:ind w:end="-31" w:hanging="0"/>
              <w:jc w:val="center"/>
              <w:rPr/>
            </w:pPr>
            <w:r>
              <w:rPr>
                <w:rFonts w:cs="Garamond" w:ascii="Garamond" w:hAnsi="Garamond"/>
                <w:i/>
                <w:sz w:val="22"/>
                <w:szCs w:val="22"/>
              </w:rPr>
              <w:t>Илл. 10.</w:t>
            </w:r>
            <w:r>
              <w:rPr>
                <w:rFonts w:cs="Garamond" w:ascii="Garamond" w:hAnsi="Garamond"/>
                <w:sz w:val="22"/>
                <w:szCs w:val="22"/>
              </w:rPr>
              <w:t xml:space="preserve"> Вади Абу Васил: «прямоугольные» ладьи на местонахождении 26 Х. Винклера (</w:t>
            </w:r>
            <w:r>
              <w:rPr>
                <w:rFonts w:cs="Garamond" w:ascii="Garamond" w:hAnsi="Garamond"/>
                <w:sz w:val="22"/>
                <w:szCs w:val="22"/>
                <w:lang w:val="en-US"/>
              </w:rPr>
              <w:t>WAS</w:t>
            </w:r>
            <w:r>
              <w:rPr>
                <w:rFonts w:cs="Garamond" w:ascii="Garamond" w:hAnsi="Garamond"/>
                <w:sz w:val="22"/>
                <w:szCs w:val="22"/>
              </w:rPr>
              <w:t>-10)</w:t>
            </w:r>
          </w:p>
          <w:p>
            <w:pPr>
              <w:pStyle w:val="Normal"/>
              <w:autoSpaceDE w:val="false"/>
              <w:ind w:end="-31" w:hanging="0"/>
              <w:jc w:val="center"/>
              <w:rPr>
                <w:rFonts w:ascii="Garamond" w:hAnsi="Garamond" w:cs="Garamond"/>
                <w:sz w:val="24"/>
                <w:szCs w:val="24"/>
              </w:rPr>
            </w:pPr>
            <w:r>
              <w:rPr>
                <w:rFonts w:cs="Garamond" w:ascii="Garamond" w:hAnsi="Garamond"/>
                <w:sz w:val="22"/>
                <w:szCs w:val="22"/>
              </w:rPr>
              <w:t>(по: [</w:t>
            </w:r>
            <w:r>
              <w:rPr>
                <w:rFonts w:cs="Garamond" w:ascii="Garamond" w:hAnsi="Garamond"/>
                <w:sz w:val="22"/>
                <w:szCs w:val="22"/>
                <w:lang w:val="en-US"/>
              </w:rPr>
              <w:t>Winkler</w:t>
            </w:r>
            <w:r>
              <w:rPr>
                <w:rFonts w:cs="Garamond" w:ascii="Garamond" w:hAnsi="Garamond"/>
                <w:sz w:val="22"/>
                <w:szCs w:val="22"/>
              </w:rPr>
              <w:t xml:space="preserve">, 1938–1939, </w:t>
            </w:r>
            <w:r>
              <w:rPr>
                <w:rFonts w:cs="Garamond" w:ascii="Garamond" w:hAnsi="Garamond"/>
                <w:sz w:val="22"/>
                <w:szCs w:val="22"/>
                <w:lang w:val="en-US"/>
              </w:rPr>
              <w:t>pt</w:t>
            </w:r>
            <w:r>
              <w:rPr>
                <w:rFonts w:cs="Garamond" w:ascii="Garamond" w:hAnsi="Garamond"/>
                <w:sz w:val="22"/>
                <w:szCs w:val="22"/>
              </w:rPr>
              <w:t xml:space="preserve">. 1, </w:t>
            </w:r>
            <w:r>
              <w:rPr>
                <w:rFonts w:cs="Garamond" w:ascii="Garamond" w:hAnsi="Garamond"/>
                <w:sz w:val="22"/>
                <w:szCs w:val="22"/>
                <w:lang w:val="en-US"/>
              </w:rPr>
              <w:t>pl</w:t>
            </w:r>
            <w:r>
              <w:rPr>
                <w:rFonts w:cs="Garamond" w:ascii="Garamond" w:hAnsi="Garamond"/>
                <w:sz w:val="22"/>
                <w:szCs w:val="22"/>
              </w:rPr>
              <w:t>. </w:t>
            </w:r>
            <w:r>
              <w:rPr>
                <w:rFonts w:cs="Garamond" w:ascii="Garamond" w:hAnsi="Garamond"/>
                <w:sz w:val="22"/>
                <w:szCs w:val="22"/>
                <w:lang w:val="en-US"/>
              </w:rPr>
              <w:t>XXII</w:t>
            </w:r>
            <w:r>
              <w:rPr>
                <w:rFonts w:cs="Garamond" w:ascii="Garamond" w:hAnsi="Garamond"/>
                <w:sz w:val="22"/>
                <w:szCs w:val="22"/>
              </w:rPr>
              <w:t>])</w:t>
            </w:r>
          </w:p>
        </w:tc>
      </w:tr>
    </w:tbl>
    <w:p>
      <w:pPr>
        <w:pStyle w:val="Normal"/>
        <w:ind w:end="-31" w:hanging="0"/>
        <w:jc w:val="both"/>
        <w:rPr>
          <w:rFonts w:ascii="Garamond" w:hAnsi="Garamond" w:cs="Garamond"/>
          <w:sz w:val="16"/>
          <w:szCs w:val="16"/>
        </w:rPr>
      </w:pPr>
      <w:r>
        <w:rPr>
          <w:rFonts w:cs="Garamond" w:ascii="Garamond" w:hAnsi="Garamond"/>
          <w:sz w:val="16"/>
          <w:szCs w:val="16"/>
        </w:rPr>
      </w:r>
    </w:p>
    <w:p>
      <w:pPr>
        <w:pStyle w:val="Normal"/>
        <w:ind w:end="-31" w:hanging="0"/>
        <w:jc w:val="center"/>
        <w:rPr>
          <w:rFonts w:ascii="Garamond" w:hAnsi="Garamond" w:cs="Garamond"/>
          <w:sz w:val="24"/>
          <w:szCs w:val="24"/>
        </w:rPr>
      </w:pPr>
      <w:r>
        <w:rPr>
          <w:rFonts w:cs="Garamond" w:ascii="Garamond" w:hAnsi="Garamond"/>
          <w:sz w:val="24"/>
          <w:szCs w:val="24"/>
        </w:rPr>
        <w:t xml:space="preserve">Литература / </w:t>
      </w:r>
      <w:r>
        <w:rPr>
          <w:rFonts w:cs="Garamond" w:ascii="Garamond" w:hAnsi="Garamond"/>
          <w:sz w:val="24"/>
          <w:szCs w:val="24"/>
          <w:lang w:val="en-US"/>
        </w:rPr>
        <w:t>References</w:t>
      </w:r>
    </w:p>
    <w:p>
      <w:pPr>
        <w:pStyle w:val="Normal"/>
        <w:ind w:start="720" w:end="-31" w:hanging="720"/>
        <w:jc w:val="both"/>
        <w:rPr>
          <w:rFonts w:ascii="Garamond" w:hAnsi="Garamond" w:cs="Garamond"/>
          <w:sz w:val="8"/>
          <w:szCs w:val="8"/>
        </w:rPr>
      </w:pPr>
      <w:r>
        <w:rPr>
          <w:rFonts w:cs="Garamond" w:ascii="Garamond" w:hAnsi="Garamond"/>
          <w:sz w:val="8"/>
          <w:szCs w:val="8"/>
        </w:rPr>
      </w:r>
    </w:p>
    <w:p>
      <w:pPr>
        <w:pStyle w:val="Normal"/>
        <w:ind w:start="720" w:end="-31" w:hanging="720"/>
        <w:jc w:val="both"/>
        <w:rPr/>
      </w:pPr>
      <w:r>
        <w:rPr>
          <w:rFonts w:cs="Garamond" w:ascii="Garamond" w:hAnsi="Garamond"/>
          <w:sz w:val="22"/>
          <w:szCs w:val="22"/>
        </w:rPr>
        <w:t xml:space="preserve">Клименко В. В. О главных климатических ритмах голоцена. </w:t>
      </w:r>
      <w:r>
        <w:rPr>
          <w:rFonts w:cs="Garamond" w:ascii="Garamond" w:hAnsi="Garamond"/>
          <w:i/>
          <w:sz w:val="22"/>
          <w:szCs w:val="22"/>
        </w:rPr>
        <w:t>Доклады</w:t>
      </w:r>
      <w:r>
        <w:rPr>
          <w:rFonts w:cs="Garamond" w:ascii="Garamond" w:hAnsi="Garamond"/>
          <w:i/>
          <w:sz w:val="22"/>
          <w:szCs w:val="22"/>
          <w:lang w:val="en-US"/>
        </w:rPr>
        <w:t xml:space="preserve"> </w:t>
      </w:r>
      <w:r>
        <w:rPr>
          <w:rFonts w:cs="Garamond" w:ascii="Garamond" w:hAnsi="Garamond"/>
          <w:i/>
          <w:sz w:val="22"/>
          <w:szCs w:val="22"/>
        </w:rPr>
        <w:t>Академии</w:t>
      </w:r>
      <w:r>
        <w:rPr>
          <w:rFonts w:cs="Garamond" w:ascii="Garamond" w:hAnsi="Garamond"/>
          <w:i/>
          <w:sz w:val="22"/>
          <w:szCs w:val="22"/>
          <w:lang w:val="en-US"/>
        </w:rPr>
        <w:t xml:space="preserve"> </w:t>
      </w:r>
      <w:r>
        <w:rPr>
          <w:rFonts w:cs="Garamond" w:ascii="Garamond" w:hAnsi="Garamond"/>
          <w:i/>
          <w:sz w:val="22"/>
          <w:szCs w:val="22"/>
        </w:rPr>
        <w:t>наук</w:t>
      </w:r>
      <w:r>
        <w:rPr>
          <w:rFonts w:cs="Garamond" w:ascii="Garamond" w:hAnsi="Garamond"/>
          <w:sz w:val="22"/>
          <w:szCs w:val="22"/>
          <w:lang w:val="en-US"/>
        </w:rPr>
        <w:t xml:space="preserve">. 1997. 357. C. 399–402 [Klimenko V. V. Principal Climatic Rhythms of the Holocene. </w:t>
      </w:r>
      <w:r>
        <w:rPr>
          <w:rFonts w:cs="Garamond" w:ascii="Garamond" w:hAnsi="Garamond"/>
          <w:i/>
          <w:iCs/>
          <w:sz w:val="22"/>
          <w:szCs w:val="22"/>
          <w:lang w:val="en-US"/>
        </w:rPr>
        <w:t>Doklady Akademii nauk (Transactions of the Russian Academy of Sciences)</w:t>
      </w:r>
      <w:r>
        <w:rPr>
          <w:rFonts w:cs="Garamond" w:ascii="Garamond" w:hAnsi="Garamond"/>
          <w:iCs/>
          <w:sz w:val="22"/>
          <w:szCs w:val="22"/>
          <w:lang w:val="en-US"/>
        </w:rPr>
        <w:t xml:space="preserve">. </w:t>
      </w:r>
      <w:r>
        <w:rPr>
          <w:rFonts w:cs="Garamond" w:ascii="Garamond" w:hAnsi="Garamond"/>
          <w:iCs/>
          <w:sz w:val="22"/>
          <w:szCs w:val="22"/>
        </w:rPr>
        <w:t xml:space="preserve">1997. </w:t>
      </w:r>
      <w:r>
        <w:rPr>
          <w:rFonts w:cs="Garamond" w:ascii="Garamond" w:hAnsi="Garamond"/>
          <w:sz w:val="22"/>
          <w:szCs w:val="22"/>
        </w:rPr>
        <w:t xml:space="preserve">357. </w:t>
      </w:r>
      <w:r>
        <w:rPr>
          <w:rFonts w:cs="Garamond" w:ascii="Garamond" w:hAnsi="Garamond"/>
          <w:sz w:val="22"/>
          <w:szCs w:val="22"/>
          <w:lang w:val="en-US"/>
        </w:rPr>
        <w:t>Pp</w:t>
      </w:r>
      <w:r>
        <w:rPr>
          <w:rFonts w:cs="Garamond" w:ascii="Garamond" w:hAnsi="Garamond"/>
          <w:sz w:val="22"/>
          <w:szCs w:val="22"/>
        </w:rPr>
        <w:t>. 399–402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Клименко В. В. </w:t>
      </w:r>
      <w:r>
        <w:rPr>
          <w:rFonts w:cs="Garamond" w:ascii="Garamond" w:hAnsi="Garamond"/>
          <w:i/>
          <w:sz w:val="22"/>
          <w:szCs w:val="22"/>
        </w:rPr>
        <w:t>Климат: непрочитанная глава истории</w:t>
      </w:r>
      <w:r>
        <w:rPr>
          <w:rFonts w:cs="Garamond" w:ascii="Garamond" w:hAnsi="Garamond"/>
          <w:sz w:val="22"/>
          <w:szCs w:val="22"/>
        </w:rPr>
        <w:t>. М</w:t>
      </w:r>
      <w:r>
        <w:rPr>
          <w:rFonts w:cs="Garamond" w:ascii="Garamond" w:hAnsi="Garamond"/>
          <w:sz w:val="22"/>
          <w:szCs w:val="22"/>
          <w:lang w:val="en-US"/>
        </w:rPr>
        <w:t xml:space="preserve">., 2009 [Klimenko V. V. </w:t>
      </w:r>
      <w:r>
        <w:rPr>
          <w:rFonts w:cs="Garamond" w:ascii="Garamond" w:hAnsi="Garamond"/>
          <w:i/>
          <w:sz w:val="22"/>
          <w:szCs w:val="22"/>
          <w:lang w:val="en-US"/>
        </w:rPr>
        <w:t>Climate: An Unread Chapter of the History</w:t>
      </w:r>
      <w:r>
        <w:rPr>
          <w:rFonts w:cs="Garamond" w:ascii="Garamond" w:hAnsi="Garamond"/>
          <w:sz w:val="22"/>
          <w:szCs w:val="22"/>
          <w:lang w:val="en-US"/>
        </w:rPr>
        <w:t>. Moscow</w:t>
      </w:r>
      <w:r>
        <w:rPr>
          <w:rFonts w:cs="Garamond" w:ascii="Garamond" w:hAnsi="Garamond"/>
          <w:sz w:val="22"/>
          <w:szCs w:val="22"/>
        </w:rPr>
        <w:t>, 2009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Клименко В. В., Прусаков Д. Б. Изменения климата в северном полушарии в конце </w:t>
      </w:r>
      <w:r>
        <w:rPr>
          <w:rFonts w:cs="Garamond" w:ascii="Garamond" w:hAnsi="Garamond"/>
          <w:sz w:val="22"/>
          <w:szCs w:val="22"/>
          <w:lang w:val="en-US"/>
        </w:rPr>
        <w:t>III</w:t>
      </w:r>
      <w:r>
        <w:rPr>
          <w:rFonts w:cs="Garamond" w:ascii="Garamond" w:hAnsi="Garamond"/>
          <w:sz w:val="22"/>
          <w:szCs w:val="22"/>
        </w:rPr>
        <w:t xml:space="preserve"> — начале </w:t>
      </w:r>
      <w:r>
        <w:rPr>
          <w:rFonts w:cs="Garamond" w:ascii="Garamond" w:hAnsi="Garamond"/>
          <w:sz w:val="22"/>
          <w:szCs w:val="22"/>
          <w:lang w:val="en-US"/>
        </w:rPr>
        <w:t>II</w:t>
      </w:r>
      <w:r>
        <w:rPr>
          <w:rFonts w:cs="Garamond" w:ascii="Garamond" w:hAnsi="Garamond"/>
          <w:sz w:val="22"/>
          <w:szCs w:val="22"/>
        </w:rPr>
        <w:t xml:space="preserve"> тыс. до н. э. и Второй социально-экологический кризис в древнем Египте. </w:t>
      </w:r>
      <w:r>
        <w:rPr>
          <w:rFonts w:cs="Garamond" w:ascii="Garamond" w:hAnsi="Garamond"/>
          <w:i/>
          <w:iCs/>
          <w:sz w:val="22"/>
          <w:szCs w:val="22"/>
        </w:rPr>
        <w:t>Восток</w:t>
      </w:r>
      <w:r>
        <w:rPr>
          <w:rFonts w:cs="Garamond" w:ascii="Garamond" w:hAnsi="Garamond"/>
          <w:i/>
          <w:iCs/>
          <w:sz w:val="22"/>
          <w:szCs w:val="22"/>
          <w:lang w:val="en-US"/>
        </w:rPr>
        <w:t xml:space="preserve"> (Oriens).</w:t>
      </w:r>
      <w:r>
        <w:rPr>
          <w:rFonts w:cs="Garamond" w:ascii="Garamond" w:hAnsi="Garamond"/>
          <w:iCs/>
          <w:sz w:val="22"/>
          <w:szCs w:val="22"/>
          <w:lang w:val="en-US"/>
        </w:rPr>
        <w:t xml:space="preserve"> 1999. № </w:t>
      </w:r>
      <w:r>
        <w:rPr>
          <w:rFonts w:cs="Garamond" w:ascii="Garamond" w:hAnsi="Garamond"/>
          <w:sz w:val="22"/>
          <w:szCs w:val="22"/>
          <w:lang w:val="en-US"/>
        </w:rPr>
        <w:t xml:space="preserve">1. C. 5–19 [Klimenko V. V., Proussakov D. B. Climate Changes in the Northern Hemisphere in the Late 3rd to the Early 2nd Millennium BC and the Second Socio-Ecological Crisis in Ancient Egypt. </w:t>
      </w:r>
      <w:r>
        <w:rPr>
          <w:rFonts w:cs="Garamond" w:ascii="Garamond" w:hAnsi="Garamond"/>
          <w:i/>
          <w:sz w:val="22"/>
          <w:szCs w:val="22"/>
          <w:lang w:val="en-US"/>
        </w:rPr>
        <w:t>Vostok</w:t>
      </w:r>
      <w:r>
        <w:rPr>
          <w:rFonts w:cs="Garamond" w:ascii="Garamond" w:hAnsi="Garamond"/>
          <w:sz w:val="22"/>
          <w:szCs w:val="22"/>
        </w:rPr>
        <w:t xml:space="preserve"> </w:t>
      </w:r>
      <w:r>
        <w:rPr>
          <w:rFonts w:cs="Garamond" w:ascii="Garamond" w:hAnsi="Garamond"/>
          <w:i/>
          <w:iCs/>
          <w:sz w:val="22"/>
          <w:szCs w:val="22"/>
        </w:rPr>
        <w:t>(</w:t>
      </w:r>
      <w:r>
        <w:rPr>
          <w:rFonts w:cs="Garamond" w:ascii="Garamond" w:hAnsi="Garamond"/>
          <w:i/>
          <w:iCs/>
          <w:sz w:val="22"/>
          <w:szCs w:val="22"/>
          <w:lang w:val="en-US"/>
        </w:rPr>
        <w:t>Oriens</w:t>
      </w:r>
      <w:r>
        <w:rPr>
          <w:rFonts w:cs="Garamond" w:ascii="Garamond" w:hAnsi="Garamond"/>
          <w:i/>
          <w:iCs/>
          <w:sz w:val="22"/>
          <w:szCs w:val="22"/>
        </w:rPr>
        <w:t>).</w:t>
      </w:r>
      <w:r>
        <w:rPr>
          <w:rFonts w:cs="Garamond" w:ascii="Garamond" w:hAnsi="Garamond"/>
          <w:iCs/>
          <w:sz w:val="22"/>
          <w:szCs w:val="22"/>
        </w:rPr>
        <w:t xml:space="preserve"> 1999. </w:t>
      </w:r>
      <w:r>
        <w:rPr>
          <w:rFonts w:cs="Garamond" w:ascii="Garamond" w:hAnsi="Garamond"/>
          <w:sz w:val="22"/>
          <w:szCs w:val="22"/>
        </w:rPr>
        <w:t xml:space="preserve">1. </w:t>
      </w:r>
      <w:r>
        <w:rPr>
          <w:rFonts w:cs="Garamond" w:ascii="Garamond" w:hAnsi="Garamond"/>
          <w:sz w:val="22"/>
          <w:szCs w:val="22"/>
          <w:lang w:val="en-US"/>
        </w:rPr>
        <w:t>Pp</w:t>
      </w:r>
      <w:r>
        <w:rPr>
          <w:rFonts w:cs="Garamond" w:ascii="Garamond" w:hAnsi="Garamond"/>
          <w:sz w:val="22"/>
          <w:szCs w:val="22"/>
        </w:rPr>
        <w:t>. 5–19.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Куценков П. А., Чегодаев М. А. Додинастический Египет: образное мышление и искусство эпохи перехода. </w:t>
      </w:r>
      <w:r>
        <w:rPr>
          <w:rFonts w:cs="Garamond" w:ascii="Garamond" w:hAnsi="Garamond"/>
          <w:i/>
          <w:sz w:val="22"/>
          <w:szCs w:val="22"/>
        </w:rPr>
        <w:t>Искусствознание</w:t>
      </w:r>
      <w:r>
        <w:rPr>
          <w:rFonts w:cs="Garamond" w:ascii="Garamond" w:hAnsi="Garamond"/>
          <w:i/>
          <w:sz w:val="22"/>
          <w:szCs w:val="22"/>
          <w:lang w:val="en-US"/>
        </w:rPr>
        <w:t>.</w:t>
      </w:r>
      <w:r>
        <w:rPr>
          <w:rFonts w:cs="Garamond" w:ascii="Garamond" w:hAnsi="Garamond"/>
          <w:sz w:val="22"/>
          <w:szCs w:val="22"/>
          <w:lang w:val="en-US"/>
        </w:rPr>
        <w:t xml:space="preserve"> 2014. № 1–2. C. 11–49 [Kutsenkov P. A., Chegodaev M. A. Pre-Dynastic Egypt: Visual Thinking and Art in the Transition Period. </w:t>
      </w:r>
      <w:r>
        <w:rPr>
          <w:rFonts w:cs="Garamond" w:ascii="Garamond" w:hAnsi="Garamond"/>
          <w:i/>
          <w:sz w:val="22"/>
          <w:szCs w:val="22"/>
          <w:lang w:val="en-US"/>
        </w:rPr>
        <w:t>Art Studies Magazine.</w:t>
      </w:r>
      <w:r>
        <w:rPr>
          <w:rFonts w:cs="Garamond" w:ascii="Garamond" w:hAnsi="Garamond"/>
          <w:sz w:val="22"/>
          <w:szCs w:val="22"/>
          <w:lang w:val="en-US"/>
        </w:rPr>
        <w:t xml:space="preserve"> 2014. 1–2. Pp. 11–49 (in Russian)].</w:t>
      </w:r>
    </w:p>
    <w:p>
      <w:pPr>
        <w:pStyle w:val="Normal"/>
        <w:ind w:start="720" w:end="-31" w:hanging="720"/>
        <w:jc w:val="both"/>
        <w:rPr/>
      </w:pPr>
      <w:r>
        <w:rPr>
          <w:rFonts w:cs="Garamond" w:ascii="Garamond" w:hAnsi="Garamond"/>
          <w:sz w:val="22"/>
          <w:szCs w:val="22"/>
        </w:rPr>
        <w:t>Лебедев</w:t>
      </w:r>
      <w:r>
        <w:rPr>
          <w:rFonts w:cs="Garamond" w:ascii="Garamond" w:hAnsi="Garamond"/>
          <w:sz w:val="22"/>
          <w:szCs w:val="22"/>
          <w:lang w:val="en-US"/>
        </w:rPr>
        <w:t xml:space="preserve"> </w:t>
      </w:r>
      <w:r>
        <w:rPr>
          <w:rFonts w:cs="Garamond" w:ascii="Garamond" w:hAnsi="Garamond"/>
          <w:sz w:val="22"/>
          <w:szCs w:val="22"/>
        </w:rPr>
        <w:t>М</w:t>
      </w:r>
      <w:r>
        <w:rPr>
          <w:rFonts w:cs="Garamond" w:ascii="Garamond" w:hAnsi="Garamond"/>
          <w:sz w:val="22"/>
          <w:szCs w:val="22"/>
          <w:lang w:val="en-US"/>
        </w:rPr>
        <w:t xml:space="preserve">. </w:t>
      </w:r>
      <w:r>
        <w:rPr>
          <w:rFonts w:cs="Garamond" w:ascii="Garamond" w:hAnsi="Garamond"/>
          <w:sz w:val="22"/>
          <w:szCs w:val="22"/>
        </w:rPr>
        <w:t>А</w:t>
      </w:r>
      <w:r>
        <w:rPr>
          <w:rFonts w:cs="Garamond" w:ascii="Garamond" w:hAnsi="Garamond"/>
          <w:sz w:val="22"/>
          <w:szCs w:val="22"/>
          <w:lang w:val="en-US"/>
        </w:rPr>
        <w:t xml:space="preserve">. </w:t>
      </w:r>
      <w:r>
        <w:rPr>
          <w:rFonts w:cs="Garamond" w:ascii="Garamond" w:hAnsi="Garamond"/>
          <w:i/>
          <w:sz w:val="22"/>
          <w:szCs w:val="22"/>
        </w:rPr>
        <w:t>Слуги</w:t>
      </w:r>
      <w:r>
        <w:rPr>
          <w:rFonts w:cs="Garamond" w:ascii="Garamond" w:hAnsi="Garamond"/>
          <w:i/>
          <w:sz w:val="22"/>
          <w:szCs w:val="22"/>
          <w:lang w:val="en-US"/>
        </w:rPr>
        <w:t xml:space="preserve"> </w:t>
      </w:r>
      <w:r>
        <w:rPr>
          <w:rFonts w:cs="Garamond" w:ascii="Garamond" w:hAnsi="Garamond"/>
          <w:i/>
          <w:sz w:val="22"/>
          <w:szCs w:val="22"/>
        </w:rPr>
        <w:t>фараонов</w:t>
      </w:r>
      <w:r>
        <w:rPr>
          <w:rFonts w:cs="Garamond" w:ascii="Garamond" w:hAnsi="Garamond"/>
          <w:i/>
          <w:sz w:val="22"/>
          <w:szCs w:val="22"/>
          <w:lang w:val="en-US"/>
        </w:rPr>
        <w:t xml:space="preserve"> </w:t>
      </w:r>
      <w:r>
        <w:rPr>
          <w:rFonts w:cs="Garamond" w:ascii="Garamond" w:hAnsi="Garamond"/>
          <w:i/>
          <w:sz w:val="22"/>
          <w:szCs w:val="22"/>
        </w:rPr>
        <w:t>вдали</w:t>
      </w:r>
      <w:r>
        <w:rPr>
          <w:rFonts w:cs="Garamond" w:ascii="Garamond" w:hAnsi="Garamond"/>
          <w:i/>
          <w:sz w:val="22"/>
          <w:szCs w:val="22"/>
          <w:lang w:val="en-US"/>
        </w:rPr>
        <w:t xml:space="preserve"> </w:t>
      </w:r>
      <w:r>
        <w:rPr>
          <w:rFonts w:cs="Garamond" w:ascii="Garamond" w:hAnsi="Garamond"/>
          <w:i/>
          <w:sz w:val="22"/>
          <w:szCs w:val="22"/>
        </w:rPr>
        <w:t>от</w:t>
      </w:r>
      <w:r>
        <w:rPr>
          <w:rFonts w:cs="Garamond" w:ascii="Garamond" w:hAnsi="Garamond"/>
          <w:i/>
          <w:sz w:val="22"/>
          <w:szCs w:val="22"/>
          <w:lang w:val="en-US"/>
        </w:rPr>
        <w:t xml:space="preserve"> </w:t>
      </w:r>
      <w:r>
        <w:rPr>
          <w:rFonts w:cs="Garamond" w:ascii="Garamond" w:hAnsi="Garamond"/>
          <w:i/>
          <w:sz w:val="22"/>
          <w:szCs w:val="22"/>
        </w:rPr>
        <w:t>Нила</w:t>
      </w:r>
      <w:r>
        <w:rPr>
          <w:rFonts w:cs="Garamond" w:ascii="Garamond" w:hAnsi="Garamond"/>
          <w:i/>
          <w:sz w:val="22"/>
          <w:szCs w:val="22"/>
          <w:lang w:val="en-US"/>
        </w:rPr>
        <w:t xml:space="preserve">. </w:t>
      </w:r>
      <w:r>
        <w:rPr>
          <w:rFonts w:cs="Garamond" w:ascii="Garamond" w:hAnsi="Garamond"/>
          <w:i/>
          <w:sz w:val="22"/>
          <w:szCs w:val="22"/>
        </w:rPr>
        <w:t>Развитие контактов древнеегипетской цивилизации с окружающими областями в эпоху Древнего и Среднего царств.</w:t>
      </w:r>
      <w:r>
        <w:rPr>
          <w:rFonts w:cs="Garamond" w:ascii="Garamond" w:hAnsi="Garamond"/>
          <w:sz w:val="22"/>
          <w:szCs w:val="22"/>
        </w:rPr>
        <w:t xml:space="preserve"> СПб</w:t>
      </w:r>
      <w:r>
        <w:rPr>
          <w:rFonts w:cs="Garamond" w:ascii="Garamond" w:hAnsi="Garamond"/>
          <w:sz w:val="22"/>
          <w:szCs w:val="22"/>
          <w:lang w:val="en-US"/>
        </w:rPr>
        <w:t xml:space="preserve">, 2015 [Lebedev M. A. </w:t>
      </w:r>
      <w:r>
        <w:rPr>
          <w:rFonts w:cs="Garamond" w:ascii="Garamond" w:hAnsi="Garamond"/>
          <w:i/>
          <w:sz w:val="22"/>
          <w:szCs w:val="22"/>
          <w:lang w:val="en-US"/>
        </w:rPr>
        <w:t>Servants of the Pharaohs Away from the Nile: Development of Contacts of Ancient Egyptian Civilization with Adjacent Areas in the Old and Middle Kingdoms</w:t>
      </w:r>
      <w:r>
        <w:rPr>
          <w:rFonts w:cs="Garamond" w:ascii="Garamond" w:hAnsi="Garamond"/>
          <w:sz w:val="22"/>
          <w:szCs w:val="22"/>
          <w:lang w:val="en-US"/>
        </w:rPr>
        <w:t>. Saint Petersburg, 2015 (in Russian)].</w:t>
      </w:r>
    </w:p>
    <w:p>
      <w:pPr>
        <w:pStyle w:val="Normal"/>
        <w:ind w:start="720" w:end="-31" w:hanging="720"/>
        <w:jc w:val="both"/>
        <w:rPr/>
      </w:pPr>
      <w:r>
        <w:rPr>
          <w:rFonts w:cs="Garamond" w:ascii="Garamond" w:hAnsi="Garamond"/>
          <w:sz w:val="22"/>
          <w:szCs w:val="22"/>
        </w:rPr>
        <w:t>Лот</w:t>
      </w:r>
      <w:r>
        <w:rPr>
          <w:rFonts w:cs="Garamond" w:ascii="Garamond" w:hAnsi="Garamond"/>
          <w:sz w:val="22"/>
          <w:szCs w:val="22"/>
          <w:lang w:val="en-US"/>
        </w:rPr>
        <w:t xml:space="preserve"> </w:t>
      </w:r>
      <w:r>
        <w:rPr>
          <w:rFonts w:cs="Garamond" w:ascii="Garamond" w:hAnsi="Garamond"/>
          <w:sz w:val="22"/>
          <w:szCs w:val="22"/>
        </w:rPr>
        <w:t>А</w:t>
      </w:r>
      <w:r>
        <w:rPr>
          <w:rFonts w:cs="Garamond" w:ascii="Garamond" w:hAnsi="Garamond"/>
          <w:sz w:val="22"/>
          <w:szCs w:val="22"/>
          <w:lang w:val="en-US"/>
        </w:rPr>
        <w:t xml:space="preserve">. </w:t>
      </w:r>
      <w:r>
        <w:rPr>
          <w:rFonts w:cs="Garamond" w:ascii="Garamond" w:hAnsi="Garamond"/>
          <w:i/>
          <w:sz w:val="22"/>
          <w:szCs w:val="22"/>
        </w:rPr>
        <w:t>В</w:t>
      </w:r>
      <w:r>
        <w:rPr>
          <w:rFonts w:cs="Garamond" w:ascii="Garamond" w:hAnsi="Garamond"/>
          <w:i/>
          <w:sz w:val="22"/>
          <w:szCs w:val="22"/>
          <w:lang w:val="en-US"/>
        </w:rPr>
        <w:t xml:space="preserve"> </w:t>
      </w:r>
      <w:r>
        <w:rPr>
          <w:rFonts w:cs="Garamond" w:ascii="Garamond" w:hAnsi="Garamond"/>
          <w:i/>
          <w:sz w:val="22"/>
          <w:szCs w:val="22"/>
        </w:rPr>
        <w:t>поисках</w:t>
      </w:r>
      <w:r>
        <w:rPr>
          <w:rFonts w:cs="Garamond" w:ascii="Garamond" w:hAnsi="Garamond"/>
          <w:i/>
          <w:sz w:val="22"/>
          <w:szCs w:val="22"/>
          <w:lang w:val="en-US"/>
        </w:rPr>
        <w:t xml:space="preserve"> </w:t>
      </w:r>
      <w:r>
        <w:rPr>
          <w:rFonts w:cs="Garamond" w:ascii="Garamond" w:hAnsi="Garamond"/>
          <w:i/>
          <w:sz w:val="22"/>
          <w:szCs w:val="22"/>
        </w:rPr>
        <w:t>фресок</w:t>
      </w:r>
      <w:r>
        <w:rPr>
          <w:rFonts w:cs="Garamond" w:ascii="Garamond" w:hAnsi="Garamond"/>
          <w:i/>
          <w:sz w:val="22"/>
          <w:szCs w:val="22"/>
          <w:lang w:val="en-US"/>
        </w:rPr>
        <w:t xml:space="preserve"> </w:t>
      </w:r>
      <w:r>
        <w:rPr>
          <w:rFonts w:cs="Garamond" w:ascii="Garamond" w:hAnsi="Garamond"/>
          <w:i/>
          <w:sz w:val="22"/>
          <w:szCs w:val="22"/>
        </w:rPr>
        <w:t>Тассилин</w:t>
      </w:r>
      <w:r>
        <w:rPr>
          <w:rFonts w:cs="Garamond" w:ascii="Garamond" w:hAnsi="Garamond"/>
          <w:i/>
          <w:sz w:val="22"/>
          <w:szCs w:val="22"/>
          <w:lang w:val="en-US"/>
        </w:rPr>
        <w:t>-</w:t>
      </w:r>
      <w:r>
        <w:rPr>
          <w:rFonts w:cs="Garamond" w:ascii="Garamond" w:hAnsi="Garamond"/>
          <w:i/>
          <w:sz w:val="22"/>
          <w:szCs w:val="22"/>
        </w:rPr>
        <w:t>Аджера</w:t>
      </w:r>
      <w:r>
        <w:rPr>
          <w:rFonts w:cs="Garamond" w:ascii="Garamond" w:hAnsi="Garamond"/>
          <w:i/>
          <w:sz w:val="22"/>
          <w:szCs w:val="22"/>
          <w:lang w:val="en-US"/>
        </w:rPr>
        <w:t>.</w:t>
      </w:r>
      <w:r>
        <w:rPr>
          <w:rFonts w:cs="Garamond" w:ascii="Garamond" w:hAnsi="Garamond"/>
          <w:sz w:val="22"/>
          <w:szCs w:val="22"/>
          <w:lang w:val="en-US"/>
        </w:rPr>
        <w:t xml:space="preserve"> </w:t>
      </w:r>
      <w:r>
        <w:rPr>
          <w:rFonts w:cs="Garamond" w:ascii="Garamond" w:hAnsi="Garamond"/>
          <w:sz w:val="22"/>
          <w:szCs w:val="22"/>
        </w:rPr>
        <w:t>Л</w:t>
      </w:r>
      <w:r>
        <w:rPr>
          <w:rFonts w:cs="Garamond" w:ascii="Garamond" w:hAnsi="Garamond"/>
          <w:sz w:val="22"/>
          <w:szCs w:val="22"/>
          <w:lang w:val="en-US"/>
        </w:rPr>
        <w:t>., 1973 [Lhote H.</w:t>
      </w:r>
      <w:r>
        <w:rPr>
          <w:rFonts w:cs="Garamond" w:ascii="Garamond" w:hAnsi="Garamond"/>
          <w:i/>
          <w:sz w:val="22"/>
          <w:szCs w:val="22"/>
          <w:lang w:val="en-US"/>
        </w:rPr>
        <w:t xml:space="preserve"> The Search for the Tassili-Adjer Frescoes.</w:t>
      </w:r>
      <w:r>
        <w:rPr>
          <w:rFonts w:cs="Garamond" w:ascii="Garamond" w:hAnsi="Garamond"/>
          <w:sz w:val="22"/>
          <w:szCs w:val="22"/>
          <w:lang w:val="en-US"/>
        </w:rPr>
        <w:t xml:space="preserve"> Leningrad, 1973 (in Russian)].</w:t>
      </w:r>
    </w:p>
    <w:p>
      <w:pPr>
        <w:pStyle w:val="Normal"/>
        <w:ind w:start="720" w:end="-31" w:hanging="720"/>
        <w:jc w:val="both"/>
        <w:rPr/>
      </w:pPr>
      <w:r>
        <w:rPr>
          <w:rFonts w:cs="Garamond" w:ascii="Garamond" w:hAnsi="Garamond"/>
          <w:sz w:val="22"/>
          <w:szCs w:val="22"/>
        </w:rPr>
        <w:t>Перепелкин</w:t>
      </w:r>
      <w:r>
        <w:rPr>
          <w:rFonts w:cs="Garamond" w:ascii="Garamond" w:hAnsi="Garamond"/>
          <w:sz w:val="22"/>
          <w:szCs w:val="22"/>
          <w:lang w:val="en-US"/>
        </w:rPr>
        <w:t xml:space="preserve"> </w:t>
      </w:r>
      <w:r>
        <w:rPr>
          <w:rFonts w:cs="Garamond" w:ascii="Garamond" w:hAnsi="Garamond"/>
          <w:sz w:val="22"/>
          <w:szCs w:val="22"/>
        </w:rPr>
        <w:t>Ю</w:t>
      </w:r>
      <w:r>
        <w:rPr>
          <w:rFonts w:cs="Garamond" w:ascii="Garamond" w:hAnsi="Garamond"/>
          <w:sz w:val="22"/>
          <w:szCs w:val="22"/>
          <w:lang w:val="en-US"/>
        </w:rPr>
        <w:t>. </w:t>
      </w:r>
      <w:r>
        <w:rPr>
          <w:rFonts w:cs="Garamond" w:ascii="Garamond" w:hAnsi="Garamond"/>
          <w:sz w:val="22"/>
          <w:szCs w:val="22"/>
        </w:rPr>
        <w:t>Я</w:t>
      </w:r>
      <w:r>
        <w:rPr>
          <w:rFonts w:cs="Garamond" w:ascii="Garamond" w:hAnsi="Garamond"/>
          <w:sz w:val="22"/>
          <w:szCs w:val="22"/>
          <w:lang w:val="en-US"/>
        </w:rPr>
        <w:t>.</w:t>
      </w:r>
      <w:r>
        <w:rPr>
          <w:rFonts w:cs="Garamond" w:ascii="Garamond" w:hAnsi="Garamond"/>
          <w:i/>
          <w:sz w:val="22"/>
          <w:szCs w:val="22"/>
          <w:lang w:val="en-US"/>
        </w:rPr>
        <w:t xml:space="preserve"> </w:t>
      </w:r>
      <w:r>
        <w:rPr>
          <w:rFonts w:cs="Garamond" w:ascii="Garamond" w:hAnsi="Garamond"/>
          <w:i/>
          <w:sz w:val="22"/>
          <w:szCs w:val="22"/>
        </w:rPr>
        <w:t>Хозяйство</w:t>
      </w:r>
      <w:r>
        <w:rPr>
          <w:rFonts w:cs="Garamond" w:ascii="Garamond" w:hAnsi="Garamond"/>
          <w:i/>
          <w:sz w:val="22"/>
          <w:szCs w:val="22"/>
          <w:lang w:val="en-US"/>
        </w:rPr>
        <w:t xml:space="preserve"> </w:t>
      </w:r>
      <w:r>
        <w:rPr>
          <w:rFonts w:cs="Garamond" w:ascii="Garamond" w:hAnsi="Garamond"/>
          <w:i/>
          <w:sz w:val="22"/>
          <w:szCs w:val="22"/>
        </w:rPr>
        <w:t>староегипетских</w:t>
      </w:r>
      <w:r>
        <w:rPr>
          <w:rFonts w:cs="Garamond" w:ascii="Garamond" w:hAnsi="Garamond"/>
          <w:i/>
          <w:sz w:val="22"/>
          <w:szCs w:val="22"/>
          <w:lang w:val="en-US"/>
        </w:rPr>
        <w:t xml:space="preserve"> </w:t>
      </w:r>
      <w:r>
        <w:rPr>
          <w:rFonts w:cs="Garamond" w:ascii="Garamond" w:hAnsi="Garamond"/>
          <w:i/>
          <w:sz w:val="22"/>
          <w:szCs w:val="22"/>
        </w:rPr>
        <w:t>вельмож</w:t>
      </w:r>
      <w:r>
        <w:rPr>
          <w:rFonts w:cs="Garamond" w:ascii="Garamond" w:hAnsi="Garamond"/>
          <w:sz w:val="22"/>
          <w:szCs w:val="22"/>
          <w:lang w:val="en-US"/>
        </w:rPr>
        <w:t xml:space="preserve">. </w:t>
      </w:r>
      <w:r>
        <w:rPr>
          <w:rFonts w:cs="Garamond" w:ascii="Garamond" w:hAnsi="Garamond"/>
          <w:sz w:val="22"/>
          <w:szCs w:val="22"/>
        </w:rPr>
        <w:t>М</w:t>
      </w:r>
      <w:r>
        <w:rPr>
          <w:rFonts w:cs="Garamond" w:ascii="Garamond" w:hAnsi="Garamond"/>
          <w:sz w:val="22"/>
          <w:szCs w:val="22"/>
          <w:lang w:val="en-US"/>
        </w:rPr>
        <w:t xml:space="preserve">., 1988 [Perepelkin Yu. Ya. </w:t>
      </w:r>
      <w:r>
        <w:rPr>
          <w:rFonts w:cs="Garamond" w:ascii="Garamond" w:hAnsi="Garamond"/>
          <w:i/>
          <w:sz w:val="22"/>
          <w:szCs w:val="22"/>
          <w:lang w:val="en-US"/>
        </w:rPr>
        <w:t>The Household of</w:t>
      </w:r>
      <w:r>
        <w:rPr>
          <w:rFonts w:cs="Garamond" w:ascii="Garamond" w:hAnsi="Garamond"/>
          <w:i/>
          <w:sz w:val="22"/>
          <w:szCs w:val="22"/>
        </w:rPr>
        <w:t> </w:t>
      </w:r>
      <w:r>
        <w:rPr>
          <w:rFonts w:cs="Garamond" w:ascii="Garamond" w:hAnsi="Garamond"/>
          <w:i/>
          <w:sz w:val="22"/>
          <w:szCs w:val="22"/>
          <w:lang w:val="en-US"/>
        </w:rPr>
        <w:t>the Old-Egyptian Nobles</w:t>
      </w:r>
      <w:r>
        <w:rPr>
          <w:rFonts w:cs="Garamond" w:ascii="Garamond" w:hAnsi="Garamond"/>
          <w:sz w:val="22"/>
          <w:szCs w:val="22"/>
          <w:lang w:val="en-US"/>
        </w:rPr>
        <w:t>. Moscow, 1988 (in Russian)].</w:t>
      </w:r>
    </w:p>
    <w:p>
      <w:pPr>
        <w:pStyle w:val="Normal"/>
        <w:ind w:start="720" w:end="-31" w:hanging="720"/>
        <w:jc w:val="both"/>
        <w:rPr/>
      </w:pPr>
      <w:r>
        <w:rPr>
          <w:rFonts w:cs="Garamond" w:ascii="Garamond" w:hAnsi="Garamond"/>
          <w:sz w:val="22"/>
          <w:szCs w:val="22"/>
        </w:rPr>
        <w:t xml:space="preserve">Пиотровский Б. Б. </w:t>
      </w:r>
      <w:r>
        <w:rPr>
          <w:rFonts w:cs="Garamond" w:ascii="Garamond" w:hAnsi="Garamond"/>
          <w:i/>
          <w:sz w:val="22"/>
          <w:szCs w:val="22"/>
        </w:rPr>
        <w:t>Вади Аллаки — путь к золотым рудникам Нубии</w:t>
      </w:r>
      <w:r>
        <w:rPr>
          <w:rFonts w:cs="Garamond" w:ascii="Garamond" w:hAnsi="Garamond"/>
          <w:sz w:val="22"/>
          <w:szCs w:val="22"/>
        </w:rPr>
        <w:t>. М</w:t>
      </w:r>
      <w:r>
        <w:rPr>
          <w:rFonts w:cs="Garamond" w:ascii="Garamond" w:hAnsi="Garamond"/>
          <w:sz w:val="22"/>
          <w:szCs w:val="22"/>
          <w:lang w:val="en-US"/>
        </w:rPr>
        <w:t xml:space="preserve">., 1983 [Piotrovsky B. B. </w:t>
      </w:r>
      <w:r>
        <w:rPr>
          <w:rFonts w:cs="Garamond" w:ascii="Garamond" w:hAnsi="Garamond"/>
          <w:i/>
          <w:sz w:val="22"/>
          <w:szCs w:val="22"/>
          <w:lang w:val="en-US"/>
        </w:rPr>
        <w:t>Wadi Allaqi. A Route to the Golden Mines of Nubia.</w:t>
      </w:r>
      <w:r>
        <w:rPr>
          <w:rFonts w:cs="Garamond" w:ascii="Garamond" w:hAnsi="Garamond"/>
          <w:sz w:val="22"/>
          <w:szCs w:val="22"/>
          <w:lang w:val="en-US"/>
        </w:rPr>
        <w:t xml:space="preserve"> Moscow</w:t>
      </w:r>
      <w:r>
        <w:rPr>
          <w:rFonts w:cs="Garamond" w:ascii="Garamond" w:hAnsi="Garamond"/>
          <w:sz w:val="22"/>
          <w:szCs w:val="22"/>
        </w:rPr>
        <w:t>, 1983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Прусаков Д. Б. </w:t>
      </w:r>
      <w:r>
        <w:rPr>
          <w:rFonts w:cs="Garamond" w:ascii="Garamond" w:hAnsi="Garamond"/>
          <w:i/>
          <w:sz w:val="22"/>
          <w:szCs w:val="22"/>
        </w:rPr>
        <w:t>Раннее государство в древнем Египте.</w:t>
      </w:r>
      <w:r>
        <w:rPr>
          <w:rFonts w:cs="Garamond" w:ascii="Garamond" w:hAnsi="Garamond"/>
          <w:sz w:val="22"/>
          <w:szCs w:val="22"/>
        </w:rPr>
        <w:t xml:space="preserve"> М</w:t>
      </w:r>
      <w:r>
        <w:rPr>
          <w:rFonts w:cs="Garamond" w:ascii="Garamond" w:hAnsi="Garamond"/>
          <w:sz w:val="22"/>
          <w:szCs w:val="22"/>
          <w:lang w:val="en-US"/>
        </w:rPr>
        <w:t>., 2001</w:t>
      </w:r>
      <w:r>
        <w:rPr>
          <w:rFonts w:cs="Garamond" w:ascii="Garamond" w:hAnsi="Garamond"/>
          <w:sz w:val="22"/>
          <w:szCs w:val="22"/>
        </w:rPr>
        <w:t>а</w:t>
      </w:r>
      <w:r>
        <w:rPr>
          <w:rFonts w:cs="Garamond" w:ascii="Garamond" w:hAnsi="Garamond"/>
          <w:sz w:val="22"/>
          <w:szCs w:val="22"/>
          <w:lang w:val="en-US"/>
        </w:rPr>
        <w:t xml:space="preserve"> [Proussakov D. B. </w:t>
      </w:r>
      <w:r>
        <w:rPr>
          <w:rFonts w:cs="Garamond" w:ascii="Garamond" w:hAnsi="Garamond"/>
          <w:i/>
          <w:sz w:val="22"/>
          <w:szCs w:val="22"/>
          <w:lang w:val="en-US"/>
        </w:rPr>
        <w:t>The Early State in Ancient Egypt.</w:t>
      </w:r>
      <w:r>
        <w:rPr>
          <w:rFonts w:cs="Garamond" w:ascii="Garamond" w:hAnsi="Garamond"/>
          <w:sz w:val="22"/>
          <w:szCs w:val="22"/>
          <w:lang w:val="en-US"/>
        </w:rPr>
        <w:t xml:space="preserve"> Moscow</w:t>
      </w:r>
      <w:r>
        <w:rPr>
          <w:rFonts w:cs="Garamond" w:ascii="Garamond" w:hAnsi="Garamond"/>
          <w:sz w:val="22"/>
          <w:szCs w:val="22"/>
        </w:rPr>
        <w:t>, 2001</w:t>
      </w:r>
      <w:r>
        <w:rPr>
          <w:rFonts w:cs="Garamond" w:ascii="Garamond" w:hAnsi="Garamond"/>
          <w:sz w:val="22"/>
          <w:szCs w:val="22"/>
          <w:lang w:val="en-US"/>
        </w:rPr>
        <w:t>a</w:t>
      </w:r>
      <w:r>
        <w:rPr>
          <w:rFonts w:cs="Garamond" w:ascii="Garamond" w:hAnsi="Garamond"/>
          <w:sz w:val="22"/>
          <w:szCs w:val="22"/>
        </w:rPr>
        <w:t xml:space="preserve">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Прусаков Д. Б. «Хор в ладье» и «ладейная ватага»: к проблеме раннего политогенеза в Египте. </w:t>
      </w:r>
      <w:r>
        <w:rPr>
          <w:rFonts w:cs="Garamond" w:ascii="Garamond" w:hAnsi="Garamond"/>
          <w:i/>
          <w:iCs/>
          <w:sz w:val="22"/>
          <w:szCs w:val="22"/>
        </w:rPr>
        <w:t>Восток</w:t>
      </w:r>
      <w:r>
        <w:rPr>
          <w:rFonts w:cs="Garamond" w:ascii="Garamond" w:hAnsi="Garamond"/>
          <w:i/>
          <w:iCs/>
          <w:sz w:val="22"/>
          <w:szCs w:val="22"/>
          <w:lang w:val="en-US"/>
        </w:rPr>
        <w:t xml:space="preserve"> (Oriens).</w:t>
      </w:r>
      <w:r>
        <w:rPr>
          <w:rFonts w:cs="Garamond" w:ascii="Garamond" w:hAnsi="Garamond"/>
          <w:iCs/>
          <w:sz w:val="22"/>
          <w:szCs w:val="22"/>
          <w:lang w:val="en-US"/>
        </w:rPr>
        <w:t xml:space="preserve"> 2001</w:t>
      </w:r>
      <w:r>
        <w:rPr>
          <w:rFonts w:cs="Garamond" w:ascii="Garamond" w:hAnsi="Garamond"/>
          <w:iCs/>
          <w:sz w:val="22"/>
          <w:szCs w:val="22"/>
        </w:rPr>
        <w:t>б</w:t>
      </w:r>
      <w:r>
        <w:rPr>
          <w:rFonts w:cs="Garamond" w:ascii="Garamond" w:hAnsi="Garamond"/>
          <w:iCs/>
          <w:sz w:val="22"/>
          <w:szCs w:val="22"/>
          <w:lang w:val="en-US"/>
        </w:rPr>
        <w:t>. № </w:t>
      </w:r>
      <w:r>
        <w:rPr>
          <w:rFonts w:cs="Garamond" w:ascii="Garamond" w:hAnsi="Garamond"/>
          <w:sz w:val="22"/>
          <w:szCs w:val="22"/>
          <w:lang w:val="en-US"/>
        </w:rPr>
        <w:t xml:space="preserve">1. C. 5–23 [Proussakov D. B. “Horus in a Boat” and “Boat Crew”: On a Problem of the Early Political Genesis in Egypt. </w:t>
      </w:r>
      <w:r>
        <w:rPr>
          <w:rFonts w:cs="Garamond" w:ascii="Garamond" w:hAnsi="Garamond"/>
          <w:i/>
          <w:sz w:val="22"/>
          <w:szCs w:val="22"/>
          <w:lang w:val="en-US"/>
        </w:rPr>
        <w:t>Vostok</w:t>
      </w:r>
      <w:r>
        <w:rPr>
          <w:rFonts w:cs="Garamond" w:ascii="Garamond" w:hAnsi="Garamond"/>
          <w:sz w:val="22"/>
          <w:szCs w:val="22"/>
          <w:lang w:val="en-US"/>
        </w:rPr>
        <w:t xml:space="preserve"> </w:t>
      </w:r>
      <w:r>
        <w:rPr>
          <w:rFonts w:cs="Garamond" w:ascii="Garamond" w:hAnsi="Garamond"/>
          <w:i/>
          <w:iCs/>
          <w:sz w:val="22"/>
          <w:szCs w:val="22"/>
          <w:lang w:val="en-US"/>
        </w:rPr>
        <w:t>(Oriens).</w:t>
      </w:r>
      <w:r>
        <w:rPr>
          <w:rFonts w:cs="Garamond" w:ascii="Garamond" w:hAnsi="Garamond"/>
          <w:iCs/>
          <w:sz w:val="22"/>
          <w:szCs w:val="22"/>
          <w:lang w:val="en-US"/>
        </w:rPr>
        <w:t xml:space="preserve"> 2001b. </w:t>
      </w:r>
      <w:r>
        <w:rPr>
          <w:rFonts w:cs="Garamond" w:ascii="Garamond" w:hAnsi="Garamond"/>
          <w:sz w:val="22"/>
          <w:szCs w:val="22"/>
          <w:lang w:val="en-US"/>
        </w:rPr>
        <w:t>1. Pp. 5–23. (in</w:t>
      </w:r>
      <w:r>
        <w:rPr>
          <w:rFonts w:cs="Garamond" w:ascii="Garamond" w:hAnsi="Garamond"/>
          <w:sz w:val="22"/>
          <w:szCs w:val="22"/>
        </w:rPr>
        <w:t> </w:t>
      </w:r>
      <w:r>
        <w:rPr>
          <w:rFonts w:cs="Garamond" w:ascii="Garamond" w:hAnsi="Garamond"/>
          <w:sz w:val="22"/>
          <w:szCs w:val="22"/>
          <w:lang w:val="en-US"/>
        </w:rPr>
        <w:t>Russian)].</w:t>
      </w:r>
    </w:p>
    <w:p>
      <w:pPr>
        <w:pStyle w:val="Normal"/>
        <w:ind w:start="720" w:end="-31" w:hanging="720"/>
        <w:jc w:val="both"/>
        <w:rPr/>
      </w:pPr>
      <w:r>
        <w:rPr>
          <w:rFonts w:cs="Garamond" w:ascii="Garamond" w:hAnsi="Garamond"/>
          <w:sz w:val="22"/>
          <w:szCs w:val="22"/>
        </w:rPr>
        <w:t>Прусаков</w:t>
      </w:r>
      <w:r>
        <w:rPr>
          <w:rFonts w:cs="Garamond" w:ascii="Garamond" w:hAnsi="Garamond"/>
          <w:sz w:val="22"/>
          <w:szCs w:val="22"/>
          <w:lang w:val="en-US"/>
        </w:rPr>
        <w:t> </w:t>
      </w:r>
      <w:r>
        <w:rPr>
          <w:rFonts w:cs="Garamond" w:ascii="Garamond" w:hAnsi="Garamond"/>
          <w:sz w:val="22"/>
          <w:szCs w:val="22"/>
        </w:rPr>
        <w:t>Д</w:t>
      </w:r>
      <w:r>
        <w:rPr>
          <w:rFonts w:cs="Garamond" w:ascii="Garamond" w:hAnsi="Garamond"/>
          <w:sz w:val="22"/>
          <w:szCs w:val="22"/>
          <w:lang w:val="en-US"/>
        </w:rPr>
        <w:t>. </w:t>
      </w:r>
      <w:r>
        <w:rPr>
          <w:rFonts w:cs="Garamond" w:ascii="Garamond" w:hAnsi="Garamond"/>
          <w:sz w:val="22"/>
          <w:szCs w:val="22"/>
        </w:rPr>
        <w:t>Б</w:t>
      </w:r>
      <w:r>
        <w:rPr>
          <w:rFonts w:cs="Garamond" w:ascii="Garamond" w:hAnsi="Garamond"/>
          <w:sz w:val="22"/>
          <w:szCs w:val="22"/>
          <w:lang w:val="en-US"/>
        </w:rPr>
        <w:t xml:space="preserve">. </w:t>
      </w:r>
      <w:r>
        <w:rPr>
          <w:rFonts w:cs="Garamond" w:ascii="Garamond" w:hAnsi="Garamond"/>
          <w:i/>
          <w:sz w:val="22"/>
          <w:szCs w:val="22"/>
        </w:rPr>
        <w:t>Древний</w:t>
      </w:r>
      <w:r>
        <w:rPr>
          <w:rFonts w:cs="Garamond" w:ascii="Garamond" w:hAnsi="Garamond"/>
          <w:i/>
          <w:sz w:val="22"/>
          <w:szCs w:val="22"/>
          <w:lang w:val="en-US"/>
        </w:rPr>
        <w:t xml:space="preserve"> </w:t>
      </w:r>
      <w:r>
        <w:rPr>
          <w:rFonts w:cs="Garamond" w:ascii="Garamond" w:hAnsi="Garamond"/>
          <w:i/>
          <w:sz w:val="22"/>
          <w:szCs w:val="22"/>
        </w:rPr>
        <w:t>Египет</w:t>
      </w:r>
      <w:r>
        <w:rPr>
          <w:rFonts w:cs="Garamond" w:ascii="Garamond" w:hAnsi="Garamond"/>
          <w:i/>
          <w:sz w:val="22"/>
          <w:szCs w:val="22"/>
          <w:lang w:val="en-US"/>
        </w:rPr>
        <w:t xml:space="preserve">: </w:t>
      </w:r>
      <w:r>
        <w:rPr>
          <w:rFonts w:cs="Garamond" w:ascii="Garamond" w:hAnsi="Garamond"/>
          <w:i/>
          <w:sz w:val="22"/>
          <w:szCs w:val="22"/>
        </w:rPr>
        <w:t>почва</w:t>
      </w:r>
      <w:r>
        <w:rPr>
          <w:rFonts w:cs="Garamond" w:ascii="Garamond" w:hAnsi="Garamond"/>
          <w:i/>
          <w:sz w:val="22"/>
          <w:szCs w:val="22"/>
          <w:lang w:val="en-US"/>
        </w:rPr>
        <w:t xml:space="preserve"> </w:t>
      </w:r>
      <w:r>
        <w:rPr>
          <w:rFonts w:cs="Garamond" w:ascii="Garamond" w:hAnsi="Garamond"/>
          <w:i/>
          <w:sz w:val="22"/>
          <w:szCs w:val="22"/>
        </w:rPr>
        <w:t>цивилизации</w:t>
      </w:r>
      <w:r>
        <w:rPr>
          <w:rFonts w:cs="Garamond" w:ascii="Garamond" w:hAnsi="Garamond"/>
          <w:i/>
          <w:sz w:val="22"/>
          <w:szCs w:val="22"/>
          <w:lang w:val="en-US"/>
        </w:rPr>
        <w:t xml:space="preserve"> (</w:t>
      </w:r>
      <w:r>
        <w:rPr>
          <w:rFonts w:cs="Garamond" w:ascii="Garamond" w:hAnsi="Garamond"/>
          <w:i/>
          <w:sz w:val="22"/>
          <w:szCs w:val="22"/>
        </w:rPr>
        <w:t>этюд</w:t>
      </w:r>
      <w:r>
        <w:rPr>
          <w:rFonts w:cs="Garamond" w:ascii="Garamond" w:hAnsi="Garamond"/>
          <w:i/>
          <w:sz w:val="22"/>
          <w:szCs w:val="22"/>
          <w:lang w:val="en-US"/>
        </w:rPr>
        <w:t xml:space="preserve"> </w:t>
      </w:r>
      <w:r>
        <w:rPr>
          <w:rFonts w:cs="Garamond" w:ascii="Garamond" w:hAnsi="Garamond"/>
          <w:i/>
          <w:sz w:val="22"/>
          <w:szCs w:val="22"/>
        </w:rPr>
        <w:t>о</w:t>
      </w:r>
      <w:r>
        <w:rPr>
          <w:rFonts w:cs="Garamond" w:ascii="Garamond" w:hAnsi="Garamond"/>
          <w:i/>
          <w:sz w:val="22"/>
          <w:szCs w:val="22"/>
          <w:lang w:val="en-US"/>
        </w:rPr>
        <w:t xml:space="preserve"> </w:t>
      </w:r>
      <w:r>
        <w:rPr>
          <w:rFonts w:cs="Garamond" w:ascii="Garamond" w:hAnsi="Garamond"/>
          <w:i/>
          <w:sz w:val="22"/>
          <w:szCs w:val="22"/>
        </w:rPr>
        <w:t>неолитической</w:t>
      </w:r>
      <w:r>
        <w:rPr>
          <w:rFonts w:cs="Garamond" w:ascii="Garamond" w:hAnsi="Garamond"/>
          <w:i/>
          <w:sz w:val="22"/>
          <w:szCs w:val="22"/>
          <w:lang w:val="en-US"/>
        </w:rPr>
        <w:t xml:space="preserve"> </w:t>
      </w:r>
      <w:r>
        <w:rPr>
          <w:rFonts w:cs="Garamond" w:ascii="Garamond" w:hAnsi="Garamond"/>
          <w:i/>
          <w:sz w:val="22"/>
          <w:szCs w:val="22"/>
        </w:rPr>
        <w:t>революции</w:t>
      </w:r>
      <w:r>
        <w:rPr>
          <w:rFonts w:cs="Garamond" w:ascii="Garamond" w:hAnsi="Garamond"/>
          <w:i/>
          <w:sz w:val="22"/>
          <w:szCs w:val="22"/>
          <w:lang w:val="en-US"/>
        </w:rPr>
        <w:t>).</w:t>
      </w:r>
      <w:r>
        <w:rPr>
          <w:rFonts w:cs="Garamond" w:ascii="Garamond" w:hAnsi="Garamond"/>
          <w:sz w:val="22"/>
          <w:szCs w:val="22"/>
          <w:lang w:val="en-US"/>
        </w:rPr>
        <w:t xml:space="preserve"> </w:t>
      </w:r>
      <w:r>
        <w:rPr>
          <w:rFonts w:cs="Garamond" w:ascii="Garamond" w:hAnsi="Garamond"/>
          <w:sz w:val="22"/>
          <w:szCs w:val="22"/>
        </w:rPr>
        <w:t>М</w:t>
      </w:r>
      <w:r>
        <w:rPr>
          <w:rFonts w:cs="Garamond" w:ascii="Garamond" w:hAnsi="Garamond"/>
          <w:sz w:val="22"/>
          <w:szCs w:val="22"/>
          <w:lang w:val="en-US"/>
        </w:rPr>
        <w:t xml:space="preserve">., 2009 [Proussakov D. B. </w:t>
      </w:r>
      <w:r>
        <w:rPr>
          <w:rFonts w:cs="Garamond" w:ascii="Garamond" w:hAnsi="Garamond"/>
          <w:i/>
          <w:sz w:val="22"/>
          <w:szCs w:val="22"/>
          <w:lang w:val="en-US"/>
        </w:rPr>
        <w:t>Ancient Egypt: Soil of the Civilization (an Essay on the Neolithic Revolution).</w:t>
      </w:r>
      <w:r>
        <w:rPr>
          <w:rFonts w:cs="Garamond" w:ascii="Garamond" w:hAnsi="Garamond"/>
          <w:sz w:val="22"/>
          <w:szCs w:val="22"/>
          <w:lang w:val="en-US"/>
        </w:rPr>
        <w:t xml:space="preserve"> Moscow</w:t>
      </w:r>
      <w:r>
        <w:rPr>
          <w:rFonts w:cs="Garamond" w:ascii="Garamond" w:hAnsi="Garamond"/>
          <w:sz w:val="22"/>
          <w:szCs w:val="22"/>
        </w:rPr>
        <w:t>, 2009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Прусаков Д. Б. «Династическая раса»? К природе «вторжений» в доисторический Египет. Большаков А. О. (ред.). </w:t>
      </w:r>
      <w:r>
        <w:rPr>
          <w:rFonts w:cs="Garamond" w:ascii="Garamond" w:hAnsi="Garamond"/>
          <w:i/>
          <w:sz w:val="22"/>
          <w:szCs w:val="22"/>
        </w:rPr>
        <w:t>Петербургские египтологические чтения 2009–2010. Доклады</w:t>
      </w:r>
      <w:r>
        <w:rPr>
          <w:rFonts w:cs="Garamond" w:ascii="Garamond" w:hAnsi="Garamond"/>
          <w:sz w:val="22"/>
          <w:szCs w:val="22"/>
        </w:rPr>
        <w:t>. СПб, 2011. С. 203–226 [</w:t>
      </w:r>
      <w:r>
        <w:rPr>
          <w:rFonts w:cs="Garamond" w:ascii="Garamond" w:hAnsi="Garamond"/>
          <w:sz w:val="22"/>
          <w:szCs w:val="22"/>
          <w:lang w:val="en-US"/>
        </w:rPr>
        <w:t>Proussakov</w:t>
      </w:r>
      <w:r>
        <w:rPr>
          <w:rFonts w:cs="Garamond" w:ascii="Garamond" w:hAnsi="Garamond"/>
          <w:sz w:val="22"/>
          <w:szCs w:val="22"/>
        </w:rPr>
        <w:t> </w:t>
      </w:r>
      <w:r>
        <w:rPr>
          <w:rFonts w:cs="Garamond" w:ascii="Garamond" w:hAnsi="Garamond"/>
          <w:sz w:val="22"/>
          <w:szCs w:val="22"/>
          <w:lang w:val="en-US"/>
        </w:rPr>
        <w:t>D</w:t>
      </w:r>
      <w:r>
        <w:rPr>
          <w:rFonts w:cs="Garamond" w:ascii="Garamond" w:hAnsi="Garamond"/>
          <w:sz w:val="22"/>
          <w:szCs w:val="22"/>
        </w:rPr>
        <w:t>. </w:t>
      </w:r>
      <w:r>
        <w:rPr>
          <w:rFonts w:cs="Garamond" w:ascii="Garamond" w:hAnsi="Garamond"/>
          <w:sz w:val="22"/>
          <w:szCs w:val="22"/>
          <w:lang w:val="en-US"/>
        </w:rPr>
        <w:t>B</w:t>
      </w:r>
      <w:r>
        <w:rPr>
          <w:rFonts w:cs="Garamond" w:ascii="Garamond" w:hAnsi="Garamond"/>
          <w:sz w:val="22"/>
          <w:szCs w:val="22"/>
        </w:rPr>
        <w:t xml:space="preserve">. </w:t>
      </w:r>
      <w:r>
        <w:rPr>
          <w:rFonts w:cs="Garamond" w:ascii="Garamond" w:hAnsi="Garamond"/>
          <w:sz w:val="22"/>
          <w:szCs w:val="22"/>
          <w:lang w:val="en-US"/>
        </w:rPr>
        <w:t>A</w:t>
      </w:r>
      <w:r>
        <w:rPr>
          <w:rFonts w:cs="Garamond" w:ascii="Garamond" w:hAnsi="Garamond"/>
          <w:sz w:val="22"/>
          <w:szCs w:val="22"/>
        </w:rPr>
        <w:t xml:space="preserve"> “</w:t>
      </w:r>
      <w:r>
        <w:rPr>
          <w:rFonts w:cs="Garamond" w:ascii="Garamond" w:hAnsi="Garamond"/>
          <w:sz w:val="22"/>
          <w:szCs w:val="22"/>
          <w:lang w:val="en-US"/>
        </w:rPr>
        <w:t>Dynastic</w:t>
      </w:r>
      <w:r>
        <w:rPr>
          <w:rFonts w:cs="Garamond" w:ascii="Garamond" w:hAnsi="Garamond"/>
          <w:sz w:val="22"/>
          <w:szCs w:val="22"/>
        </w:rPr>
        <w:t xml:space="preserve"> </w:t>
      </w:r>
      <w:r>
        <w:rPr>
          <w:rFonts w:cs="Garamond" w:ascii="Garamond" w:hAnsi="Garamond"/>
          <w:sz w:val="22"/>
          <w:szCs w:val="22"/>
          <w:lang w:val="en-US"/>
        </w:rPr>
        <w:t>Race</w:t>
      </w:r>
      <w:r>
        <w:rPr>
          <w:rFonts w:cs="Garamond" w:ascii="Garamond" w:hAnsi="Garamond"/>
          <w:sz w:val="22"/>
          <w:szCs w:val="22"/>
        </w:rPr>
        <w:t xml:space="preserve">”? </w:t>
      </w:r>
      <w:r>
        <w:rPr>
          <w:rFonts w:cs="Garamond" w:ascii="Garamond" w:hAnsi="Garamond"/>
          <w:sz w:val="22"/>
          <w:szCs w:val="22"/>
          <w:lang w:val="en-US"/>
        </w:rPr>
        <w:t>On the Nature of “Invasions” in</w:t>
      </w:r>
      <w:r>
        <w:rPr>
          <w:rFonts w:cs="Garamond" w:ascii="Garamond" w:hAnsi="Garamond"/>
          <w:sz w:val="22"/>
          <w:szCs w:val="22"/>
        </w:rPr>
        <w:t> </w:t>
      </w:r>
      <w:r>
        <w:rPr>
          <w:rFonts w:cs="Garamond" w:ascii="Garamond" w:hAnsi="Garamond"/>
          <w:sz w:val="22"/>
          <w:szCs w:val="22"/>
          <w:lang w:val="en-US"/>
        </w:rPr>
        <w:t xml:space="preserve">Prehistoric Egypt. Bolshakov A. O. (ed.). </w:t>
      </w:r>
      <w:r>
        <w:rPr>
          <w:rFonts w:cs="Garamond" w:ascii="Garamond" w:hAnsi="Garamond"/>
          <w:i/>
          <w:sz w:val="22"/>
          <w:szCs w:val="22"/>
          <w:lang w:val="en-US"/>
        </w:rPr>
        <w:t>St. Petersburg Egyptological Readings 2009–2010. Papers of the Conference</w:t>
      </w:r>
      <w:r>
        <w:rPr>
          <w:rFonts w:cs="Garamond" w:ascii="Garamond" w:hAnsi="Garamond"/>
          <w:sz w:val="22"/>
          <w:szCs w:val="22"/>
          <w:lang w:val="en-US"/>
        </w:rPr>
        <w:t>. St. Petersburg, 2011. Pp</w:t>
      </w:r>
      <w:r>
        <w:rPr>
          <w:rFonts w:cs="Garamond" w:ascii="Garamond" w:hAnsi="Garamond"/>
          <w:sz w:val="22"/>
          <w:szCs w:val="22"/>
        </w:rPr>
        <w:t>. 203–226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Прусаков Д. Б. </w:t>
      </w:r>
      <w:r>
        <w:rPr>
          <w:rFonts w:cs="Garamond" w:ascii="Garamond" w:hAnsi="Garamond"/>
          <w:i/>
          <w:sz w:val="22"/>
          <w:szCs w:val="22"/>
        </w:rPr>
        <w:t>Додинастический Египет: лодка у истоков цивилизации</w:t>
      </w:r>
      <w:r>
        <w:rPr>
          <w:rFonts w:cs="Garamond" w:ascii="Garamond" w:hAnsi="Garamond"/>
          <w:sz w:val="22"/>
          <w:szCs w:val="22"/>
        </w:rPr>
        <w:t>. М</w:t>
      </w:r>
      <w:r>
        <w:rPr>
          <w:rFonts w:cs="Garamond" w:ascii="Garamond" w:hAnsi="Garamond"/>
          <w:sz w:val="22"/>
          <w:szCs w:val="22"/>
          <w:lang w:val="en-US"/>
        </w:rPr>
        <w:t xml:space="preserve">., 2015 [Proussakov D. B. </w:t>
      </w:r>
      <w:r>
        <w:rPr>
          <w:rFonts w:cs="Garamond" w:ascii="Garamond" w:hAnsi="Garamond"/>
          <w:i/>
          <w:sz w:val="22"/>
          <w:szCs w:val="22"/>
          <w:lang w:val="en-US"/>
        </w:rPr>
        <w:t>Predynastic Egypt: A Boat at the Source of the Civilization</w:t>
      </w:r>
      <w:r>
        <w:rPr>
          <w:rFonts w:cs="Garamond" w:ascii="Garamond" w:hAnsi="Garamond"/>
          <w:sz w:val="22"/>
          <w:szCs w:val="22"/>
          <w:lang w:val="en-US"/>
        </w:rPr>
        <w:t>. Moscow</w:t>
      </w:r>
      <w:r>
        <w:rPr>
          <w:rFonts w:cs="Garamond" w:ascii="Garamond" w:hAnsi="Garamond"/>
          <w:sz w:val="22"/>
          <w:szCs w:val="22"/>
        </w:rPr>
        <w:t>, 2015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Прусаков Д. Б. «Голоценовое море» в Среднем Египте: к независимым обоснованиям гипотезы. </w:t>
      </w:r>
      <w:r>
        <w:rPr>
          <w:rFonts w:cs="Garamond" w:ascii="Garamond" w:hAnsi="Garamond"/>
          <w:i/>
          <w:sz w:val="22"/>
          <w:szCs w:val="22"/>
        </w:rPr>
        <w:t>Вестник</w:t>
      </w:r>
      <w:r>
        <w:rPr>
          <w:rFonts w:cs="Garamond" w:ascii="Garamond" w:hAnsi="Garamond"/>
          <w:i/>
          <w:sz w:val="22"/>
          <w:szCs w:val="22"/>
          <w:lang w:val="en-US"/>
        </w:rPr>
        <w:t xml:space="preserve"> </w:t>
      </w:r>
      <w:r>
        <w:rPr>
          <w:rFonts w:cs="Garamond" w:ascii="Garamond" w:hAnsi="Garamond"/>
          <w:i/>
          <w:sz w:val="22"/>
          <w:szCs w:val="22"/>
        </w:rPr>
        <w:t>Института</w:t>
      </w:r>
      <w:r>
        <w:rPr>
          <w:rFonts w:cs="Garamond" w:ascii="Garamond" w:hAnsi="Garamond"/>
          <w:i/>
          <w:sz w:val="22"/>
          <w:szCs w:val="22"/>
          <w:lang w:val="en-US"/>
        </w:rPr>
        <w:t xml:space="preserve"> </w:t>
      </w:r>
      <w:r>
        <w:rPr>
          <w:rFonts w:cs="Garamond" w:ascii="Garamond" w:hAnsi="Garamond"/>
          <w:i/>
          <w:sz w:val="22"/>
          <w:szCs w:val="22"/>
        </w:rPr>
        <w:t>востоковедения</w:t>
      </w:r>
      <w:r>
        <w:rPr>
          <w:rFonts w:cs="Garamond" w:ascii="Garamond" w:hAnsi="Garamond"/>
          <w:i/>
          <w:sz w:val="22"/>
          <w:szCs w:val="22"/>
          <w:lang w:val="en-US"/>
        </w:rPr>
        <w:t xml:space="preserve"> </w:t>
      </w:r>
      <w:r>
        <w:rPr>
          <w:rFonts w:cs="Garamond" w:ascii="Garamond" w:hAnsi="Garamond"/>
          <w:i/>
          <w:sz w:val="22"/>
          <w:szCs w:val="22"/>
        </w:rPr>
        <w:t>РАН</w:t>
      </w:r>
      <w:r>
        <w:rPr>
          <w:rFonts w:cs="Garamond" w:ascii="Garamond" w:hAnsi="Garamond"/>
          <w:i/>
          <w:sz w:val="22"/>
          <w:szCs w:val="22"/>
          <w:lang w:val="en-US"/>
        </w:rPr>
        <w:t>.</w:t>
      </w:r>
      <w:r>
        <w:rPr>
          <w:rFonts w:cs="Garamond" w:ascii="Garamond" w:hAnsi="Garamond"/>
          <w:sz w:val="22"/>
          <w:szCs w:val="22"/>
          <w:lang w:val="en-US"/>
        </w:rPr>
        <w:t xml:space="preserve"> 2018</w:t>
      </w:r>
      <w:r>
        <w:rPr>
          <w:rFonts w:cs="Garamond" w:ascii="Garamond" w:hAnsi="Garamond"/>
          <w:sz w:val="22"/>
          <w:szCs w:val="22"/>
        </w:rPr>
        <w:t>а</w:t>
      </w:r>
      <w:r>
        <w:rPr>
          <w:rFonts w:cs="Garamond" w:ascii="Garamond" w:hAnsi="Garamond"/>
          <w:sz w:val="22"/>
          <w:szCs w:val="22"/>
          <w:lang w:val="en-US"/>
        </w:rPr>
        <w:t xml:space="preserve">. № 6. C. 72–85 [Proussakov D. B. A “Holocene Sea” in Middle Egypt: Independent Validations of the Hypothesis. </w:t>
      </w:r>
      <w:r>
        <w:rPr>
          <w:rFonts w:cs="Garamond" w:ascii="Garamond" w:hAnsi="Garamond"/>
          <w:i/>
          <w:sz w:val="22"/>
          <w:szCs w:val="22"/>
          <w:lang w:val="en-US"/>
        </w:rPr>
        <w:t>Vestnik Instituta vostokovedenija RAN.</w:t>
      </w:r>
      <w:r>
        <w:rPr>
          <w:rFonts w:cs="Garamond" w:ascii="Garamond" w:hAnsi="Garamond"/>
          <w:sz w:val="22"/>
          <w:szCs w:val="22"/>
          <w:lang w:val="en-US"/>
        </w:rPr>
        <w:t xml:space="preserve"> 2018</w:t>
      </w:r>
      <w:r>
        <w:rPr>
          <w:rFonts w:cs="Garamond" w:ascii="Garamond" w:hAnsi="Garamond"/>
          <w:sz w:val="22"/>
          <w:szCs w:val="22"/>
        </w:rPr>
        <w:t>а</w:t>
      </w:r>
      <w:r>
        <w:rPr>
          <w:rFonts w:cs="Garamond" w:ascii="Garamond" w:hAnsi="Garamond"/>
          <w:sz w:val="22"/>
          <w:szCs w:val="22"/>
          <w:lang w:val="en-US"/>
        </w:rPr>
        <w:t>. 6. Pp.</w:t>
      </w:r>
      <w:r>
        <w:rPr>
          <w:rFonts w:cs="Garamond" w:ascii="Garamond" w:hAnsi="Garamond"/>
          <w:sz w:val="22"/>
          <w:szCs w:val="22"/>
        </w:rPr>
        <w:t> </w:t>
      </w:r>
      <w:r>
        <w:rPr>
          <w:rFonts w:cs="Garamond" w:ascii="Garamond" w:hAnsi="Garamond"/>
          <w:sz w:val="22"/>
          <w:szCs w:val="22"/>
          <w:lang w:val="en-US"/>
        </w:rPr>
        <w:t>72–85 (in Russian)].</w:t>
      </w:r>
    </w:p>
    <w:p>
      <w:pPr>
        <w:pStyle w:val="Normal"/>
        <w:ind w:start="720" w:end="-31" w:hanging="720"/>
        <w:jc w:val="both"/>
        <w:rPr/>
      </w:pPr>
      <w:r>
        <w:rPr>
          <w:rFonts w:cs="Garamond" w:ascii="Garamond" w:hAnsi="Garamond"/>
          <w:sz w:val="22"/>
          <w:szCs w:val="22"/>
        </w:rPr>
        <w:t>Прусаков</w:t>
      </w:r>
      <w:r>
        <w:rPr>
          <w:rFonts w:cs="Garamond" w:ascii="Garamond" w:hAnsi="Garamond"/>
          <w:sz w:val="22"/>
          <w:szCs w:val="22"/>
          <w:lang w:val="en-US"/>
        </w:rPr>
        <w:t xml:space="preserve"> </w:t>
      </w:r>
      <w:r>
        <w:rPr>
          <w:rFonts w:cs="Garamond" w:ascii="Garamond" w:hAnsi="Garamond"/>
          <w:sz w:val="22"/>
          <w:szCs w:val="22"/>
        </w:rPr>
        <w:t>Д</w:t>
      </w:r>
      <w:r>
        <w:rPr>
          <w:rFonts w:cs="Garamond" w:ascii="Garamond" w:hAnsi="Garamond"/>
          <w:sz w:val="22"/>
          <w:szCs w:val="22"/>
          <w:lang w:val="en-US"/>
        </w:rPr>
        <w:t xml:space="preserve">. </w:t>
      </w:r>
      <w:r>
        <w:rPr>
          <w:rFonts w:cs="Garamond" w:ascii="Garamond" w:hAnsi="Garamond"/>
          <w:sz w:val="22"/>
          <w:szCs w:val="22"/>
        </w:rPr>
        <w:t>Б</w:t>
      </w:r>
      <w:r>
        <w:rPr>
          <w:rFonts w:cs="Garamond" w:ascii="Garamond" w:hAnsi="Garamond"/>
          <w:sz w:val="22"/>
          <w:szCs w:val="22"/>
          <w:lang w:val="en-US"/>
        </w:rPr>
        <w:t xml:space="preserve">. </w:t>
      </w:r>
      <w:r>
        <w:rPr>
          <w:rFonts w:cs="Garamond" w:ascii="Garamond" w:hAnsi="Garamond"/>
          <w:sz w:val="22"/>
          <w:szCs w:val="22"/>
        </w:rPr>
        <w:t>Озера</w:t>
      </w:r>
      <w:r>
        <w:rPr>
          <w:rFonts w:cs="Garamond" w:ascii="Garamond" w:hAnsi="Garamond"/>
          <w:sz w:val="22"/>
          <w:szCs w:val="22"/>
          <w:lang w:val="en-US"/>
        </w:rPr>
        <w:t xml:space="preserve"> </w:t>
      </w:r>
      <w:r>
        <w:rPr>
          <w:rFonts w:cs="Garamond" w:ascii="Garamond" w:hAnsi="Garamond"/>
          <w:sz w:val="22"/>
          <w:szCs w:val="22"/>
        </w:rPr>
        <w:t>на</w:t>
      </w:r>
      <w:r>
        <w:rPr>
          <w:rFonts w:cs="Garamond" w:ascii="Garamond" w:hAnsi="Garamond"/>
          <w:sz w:val="22"/>
          <w:szCs w:val="22"/>
          <w:lang w:val="en-US"/>
        </w:rPr>
        <w:t xml:space="preserve"> </w:t>
      </w:r>
      <w:r>
        <w:rPr>
          <w:rFonts w:cs="Garamond" w:ascii="Garamond" w:hAnsi="Garamond"/>
          <w:sz w:val="22"/>
          <w:szCs w:val="22"/>
        </w:rPr>
        <w:t>доисторическом</w:t>
      </w:r>
      <w:r>
        <w:rPr>
          <w:rFonts w:cs="Garamond" w:ascii="Garamond" w:hAnsi="Garamond"/>
          <w:sz w:val="22"/>
          <w:szCs w:val="22"/>
          <w:lang w:val="en-US"/>
        </w:rPr>
        <w:t xml:space="preserve"> </w:t>
      </w:r>
      <w:r>
        <w:rPr>
          <w:rFonts w:cs="Garamond" w:ascii="Garamond" w:hAnsi="Garamond"/>
          <w:sz w:val="22"/>
          <w:szCs w:val="22"/>
        </w:rPr>
        <w:t>Ниле</w:t>
      </w:r>
      <w:r>
        <w:rPr>
          <w:rFonts w:cs="Garamond" w:ascii="Garamond" w:hAnsi="Garamond"/>
          <w:sz w:val="22"/>
          <w:szCs w:val="22"/>
          <w:lang w:val="en-US"/>
        </w:rPr>
        <w:t>: «</w:t>
      </w:r>
      <w:r>
        <w:rPr>
          <w:rFonts w:cs="Garamond" w:ascii="Garamond" w:hAnsi="Garamond"/>
          <w:sz w:val="22"/>
          <w:szCs w:val="22"/>
        </w:rPr>
        <w:t>гидрологические</w:t>
      </w:r>
      <w:r>
        <w:rPr>
          <w:rFonts w:cs="Garamond" w:ascii="Garamond" w:hAnsi="Garamond"/>
          <w:sz w:val="22"/>
          <w:szCs w:val="22"/>
          <w:lang w:val="en-US"/>
        </w:rPr>
        <w:t xml:space="preserve">» </w:t>
      </w:r>
      <w:r>
        <w:rPr>
          <w:rFonts w:cs="Garamond" w:ascii="Garamond" w:hAnsi="Garamond"/>
          <w:sz w:val="22"/>
          <w:szCs w:val="22"/>
        </w:rPr>
        <w:t>перспективы</w:t>
      </w:r>
      <w:r>
        <w:rPr>
          <w:rFonts w:cs="Garamond" w:ascii="Garamond" w:hAnsi="Garamond"/>
          <w:sz w:val="22"/>
          <w:szCs w:val="22"/>
          <w:lang w:val="en-US"/>
        </w:rPr>
        <w:t xml:space="preserve"> </w:t>
      </w:r>
      <w:r>
        <w:rPr>
          <w:rFonts w:cs="Garamond" w:ascii="Garamond" w:hAnsi="Garamond"/>
          <w:sz w:val="22"/>
          <w:szCs w:val="22"/>
        </w:rPr>
        <w:t>египетской</w:t>
      </w:r>
      <w:r>
        <w:rPr>
          <w:rFonts w:cs="Garamond" w:ascii="Garamond" w:hAnsi="Garamond"/>
          <w:sz w:val="22"/>
          <w:szCs w:val="22"/>
          <w:lang w:val="en-US"/>
        </w:rPr>
        <w:t xml:space="preserve"> </w:t>
      </w:r>
      <w:r>
        <w:rPr>
          <w:rFonts w:cs="Garamond" w:ascii="Garamond" w:hAnsi="Garamond"/>
          <w:sz w:val="22"/>
          <w:szCs w:val="22"/>
        </w:rPr>
        <w:t>археологии</w:t>
      </w:r>
      <w:r>
        <w:rPr>
          <w:rFonts w:cs="Garamond" w:ascii="Garamond" w:hAnsi="Garamond"/>
          <w:sz w:val="22"/>
          <w:szCs w:val="22"/>
          <w:lang w:val="en-US"/>
        </w:rPr>
        <w:t xml:space="preserve">. </w:t>
      </w:r>
      <w:r>
        <w:rPr>
          <w:rFonts w:cs="Garamond" w:ascii="Garamond" w:hAnsi="Garamond"/>
          <w:i/>
          <w:sz w:val="22"/>
          <w:szCs w:val="22"/>
        </w:rPr>
        <w:t>Вестник</w:t>
      </w:r>
      <w:r>
        <w:rPr>
          <w:rFonts w:cs="Garamond" w:ascii="Garamond" w:hAnsi="Garamond"/>
          <w:i/>
          <w:sz w:val="22"/>
          <w:szCs w:val="22"/>
          <w:lang w:val="en-US"/>
        </w:rPr>
        <w:t xml:space="preserve"> </w:t>
      </w:r>
      <w:r>
        <w:rPr>
          <w:rFonts w:cs="Garamond" w:ascii="Garamond" w:hAnsi="Garamond"/>
          <w:i/>
          <w:sz w:val="22"/>
          <w:szCs w:val="22"/>
        </w:rPr>
        <w:t>Института</w:t>
      </w:r>
      <w:r>
        <w:rPr>
          <w:rFonts w:cs="Garamond" w:ascii="Garamond" w:hAnsi="Garamond"/>
          <w:i/>
          <w:sz w:val="22"/>
          <w:szCs w:val="22"/>
          <w:lang w:val="en-US"/>
        </w:rPr>
        <w:t xml:space="preserve"> </w:t>
      </w:r>
      <w:r>
        <w:rPr>
          <w:rFonts w:cs="Garamond" w:ascii="Garamond" w:hAnsi="Garamond"/>
          <w:i/>
          <w:sz w:val="22"/>
          <w:szCs w:val="22"/>
        </w:rPr>
        <w:t>востоковедения</w:t>
      </w:r>
      <w:r>
        <w:rPr>
          <w:rFonts w:cs="Garamond" w:ascii="Garamond" w:hAnsi="Garamond"/>
          <w:i/>
          <w:sz w:val="22"/>
          <w:szCs w:val="22"/>
          <w:lang w:val="en-US"/>
        </w:rPr>
        <w:t xml:space="preserve"> </w:t>
      </w:r>
      <w:r>
        <w:rPr>
          <w:rFonts w:cs="Garamond" w:ascii="Garamond" w:hAnsi="Garamond"/>
          <w:i/>
          <w:sz w:val="22"/>
          <w:szCs w:val="22"/>
        </w:rPr>
        <w:t>РАН</w:t>
      </w:r>
      <w:r>
        <w:rPr>
          <w:rFonts w:cs="Garamond" w:ascii="Garamond" w:hAnsi="Garamond"/>
          <w:sz w:val="22"/>
          <w:szCs w:val="22"/>
          <w:lang w:val="en-US"/>
        </w:rPr>
        <w:t>. 2018</w:t>
      </w:r>
      <w:r>
        <w:rPr>
          <w:rFonts w:cs="Garamond" w:ascii="Garamond" w:hAnsi="Garamond"/>
          <w:sz w:val="22"/>
          <w:szCs w:val="22"/>
        </w:rPr>
        <w:t>б</w:t>
      </w:r>
      <w:r>
        <w:rPr>
          <w:rFonts w:cs="Garamond" w:ascii="Garamond" w:hAnsi="Garamond"/>
          <w:sz w:val="22"/>
          <w:szCs w:val="22"/>
          <w:lang w:val="en-US"/>
        </w:rPr>
        <w:t xml:space="preserve">. № 1. </w:t>
      </w:r>
      <w:r>
        <w:rPr>
          <w:rFonts w:cs="Garamond" w:ascii="Garamond" w:hAnsi="Garamond"/>
          <w:sz w:val="22"/>
          <w:szCs w:val="22"/>
        </w:rPr>
        <w:t>С</w:t>
      </w:r>
      <w:r>
        <w:rPr>
          <w:rFonts w:cs="Garamond" w:ascii="Garamond" w:hAnsi="Garamond"/>
          <w:sz w:val="22"/>
          <w:szCs w:val="22"/>
          <w:lang w:val="en-US"/>
        </w:rPr>
        <w:t xml:space="preserve">. 70–80 [Proussakov D. B. Lakes on the Prehistoric River Nile: “Hydrological” Outlook for Egyptian Archaeology. </w:t>
      </w:r>
      <w:r>
        <w:rPr>
          <w:rFonts w:cs="Garamond" w:ascii="Garamond" w:hAnsi="Garamond"/>
          <w:i/>
          <w:sz w:val="22"/>
          <w:szCs w:val="22"/>
          <w:lang w:val="en-US"/>
        </w:rPr>
        <w:t>Vestnik Instituta vostokovedenija RAN</w:t>
      </w:r>
      <w:r>
        <w:rPr>
          <w:rFonts w:cs="Garamond" w:ascii="Garamond" w:hAnsi="Garamond"/>
          <w:sz w:val="22"/>
          <w:szCs w:val="22"/>
          <w:lang w:val="en-US"/>
        </w:rPr>
        <w:t>. 2018b. 1. Pp. 70–80 (in Russian)].</w:t>
      </w:r>
    </w:p>
    <w:p>
      <w:pPr>
        <w:pStyle w:val="Normal"/>
        <w:ind w:start="720" w:end="-31" w:hanging="720"/>
        <w:jc w:val="both"/>
        <w:rPr/>
      </w:pPr>
      <w:r>
        <w:rPr>
          <w:rFonts w:cs="Garamond" w:ascii="Garamond" w:hAnsi="Garamond"/>
          <w:sz w:val="22"/>
          <w:szCs w:val="22"/>
        </w:rPr>
        <w:t>Прусаков</w:t>
      </w:r>
      <w:r>
        <w:rPr>
          <w:rFonts w:cs="Garamond" w:ascii="Garamond" w:hAnsi="Garamond"/>
          <w:sz w:val="22"/>
          <w:szCs w:val="22"/>
          <w:lang w:val="en-US"/>
        </w:rPr>
        <w:t> </w:t>
      </w:r>
      <w:r>
        <w:rPr>
          <w:rFonts w:cs="Garamond" w:ascii="Garamond" w:hAnsi="Garamond"/>
          <w:sz w:val="22"/>
          <w:szCs w:val="22"/>
        </w:rPr>
        <w:t>Д</w:t>
      </w:r>
      <w:r>
        <w:rPr>
          <w:rFonts w:cs="Garamond" w:ascii="Garamond" w:hAnsi="Garamond"/>
          <w:sz w:val="22"/>
          <w:szCs w:val="22"/>
          <w:lang w:val="en-US"/>
        </w:rPr>
        <w:t>. </w:t>
      </w:r>
      <w:r>
        <w:rPr>
          <w:rFonts w:cs="Garamond" w:ascii="Garamond" w:hAnsi="Garamond"/>
          <w:sz w:val="22"/>
          <w:szCs w:val="22"/>
        </w:rPr>
        <w:t>Б</w:t>
      </w:r>
      <w:r>
        <w:rPr>
          <w:rFonts w:cs="Garamond" w:ascii="Garamond" w:hAnsi="Garamond"/>
          <w:sz w:val="22"/>
          <w:szCs w:val="22"/>
          <w:lang w:val="en-US"/>
        </w:rPr>
        <w:t xml:space="preserve">. </w:t>
      </w:r>
      <w:r>
        <w:rPr>
          <w:rFonts w:cs="Garamond" w:ascii="Garamond" w:hAnsi="Garamond"/>
          <w:sz w:val="22"/>
          <w:szCs w:val="22"/>
        </w:rPr>
        <w:t>Гипотеза</w:t>
      </w:r>
      <w:r>
        <w:rPr>
          <w:rFonts w:cs="Garamond" w:ascii="Garamond" w:hAnsi="Garamond"/>
          <w:sz w:val="22"/>
          <w:szCs w:val="22"/>
          <w:lang w:val="en-US"/>
        </w:rPr>
        <w:t xml:space="preserve"> </w:t>
      </w:r>
      <w:r>
        <w:rPr>
          <w:rFonts w:cs="Garamond" w:ascii="Garamond" w:hAnsi="Garamond"/>
          <w:sz w:val="22"/>
          <w:szCs w:val="22"/>
        </w:rPr>
        <w:t>о</w:t>
      </w:r>
      <w:r>
        <w:rPr>
          <w:rFonts w:cs="Garamond" w:ascii="Garamond" w:hAnsi="Garamond"/>
          <w:sz w:val="22"/>
          <w:szCs w:val="22"/>
          <w:lang w:val="en-US"/>
        </w:rPr>
        <w:t xml:space="preserve"> «</w:t>
      </w:r>
      <w:r>
        <w:rPr>
          <w:rFonts w:cs="Garamond" w:ascii="Garamond" w:hAnsi="Garamond"/>
          <w:sz w:val="22"/>
          <w:szCs w:val="22"/>
        </w:rPr>
        <w:t>Земле</w:t>
      </w:r>
      <w:r>
        <w:rPr>
          <w:rFonts w:cs="Garamond" w:ascii="Garamond" w:hAnsi="Garamond"/>
          <w:sz w:val="22"/>
          <w:szCs w:val="22"/>
          <w:lang w:val="en-US"/>
        </w:rPr>
        <w:t xml:space="preserve"> </w:t>
      </w:r>
      <w:r>
        <w:rPr>
          <w:rFonts w:cs="Garamond" w:ascii="Garamond" w:hAnsi="Garamond"/>
          <w:sz w:val="22"/>
          <w:szCs w:val="22"/>
        </w:rPr>
        <w:t>излияния</w:t>
      </w:r>
      <w:r>
        <w:rPr>
          <w:rFonts w:cs="Garamond" w:ascii="Garamond" w:hAnsi="Garamond"/>
          <w:sz w:val="22"/>
          <w:szCs w:val="22"/>
          <w:lang w:val="en-US"/>
        </w:rPr>
        <w:t xml:space="preserve"> </w:t>
      </w:r>
      <w:r>
        <w:rPr>
          <w:rFonts w:cs="Garamond" w:ascii="Garamond" w:hAnsi="Garamond"/>
          <w:sz w:val="22"/>
          <w:szCs w:val="22"/>
        </w:rPr>
        <w:t>Реки</w:t>
      </w:r>
      <w:r>
        <w:rPr>
          <w:rFonts w:cs="Garamond" w:ascii="Garamond" w:hAnsi="Garamond"/>
          <w:sz w:val="22"/>
          <w:szCs w:val="22"/>
          <w:lang w:val="en-US"/>
        </w:rPr>
        <w:t xml:space="preserve">»: </w:t>
      </w:r>
      <w:r>
        <w:rPr>
          <w:rFonts w:cs="Garamond" w:ascii="Garamond" w:hAnsi="Garamond"/>
          <w:sz w:val="22"/>
          <w:szCs w:val="22"/>
        </w:rPr>
        <w:t>к</w:t>
      </w:r>
      <w:r>
        <w:rPr>
          <w:rFonts w:cs="Garamond" w:ascii="Garamond" w:hAnsi="Garamond"/>
          <w:sz w:val="22"/>
          <w:szCs w:val="22"/>
          <w:lang w:val="en-US"/>
        </w:rPr>
        <w:t xml:space="preserve"> </w:t>
      </w:r>
      <w:r>
        <w:rPr>
          <w:rFonts w:cs="Garamond" w:ascii="Garamond" w:hAnsi="Garamond"/>
          <w:sz w:val="22"/>
          <w:szCs w:val="22"/>
        </w:rPr>
        <w:t>предыстории</w:t>
      </w:r>
      <w:r>
        <w:rPr>
          <w:rFonts w:cs="Garamond" w:ascii="Garamond" w:hAnsi="Garamond"/>
          <w:sz w:val="22"/>
          <w:szCs w:val="22"/>
          <w:lang w:val="en-US"/>
        </w:rPr>
        <w:t xml:space="preserve"> 1-</w:t>
      </w:r>
      <w:r>
        <w:rPr>
          <w:rFonts w:cs="Garamond" w:ascii="Garamond" w:hAnsi="Garamond"/>
          <w:sz w:val="22"/>
          <w:szCs w:val="22"/>
        </w:rPr>
        <w:t>го</w:t>
      </w:r>
      <w:r>
        <w:rPr>
          <w:rFonts w:cs="Garamond" w:ascii="Garamond" w:hAnsi="Garamond"/>
          <w:sz w:val="22"/>
          <w:szCs w:val="22"/>
          <w:lang w:val="en-US"/>
        </w:rPr>
        <w:t xml:space="preserve"> </w:t>
      </w:r>
      <w:r>
        <w:rPr>
          <w:rFonts w:cs="Garamond" w:ascii="Garamond" w:hAnsi="Garamond"/>
          <w:sz w:val="22"/>
          <w:szCs w:val="22"/>
        </w:rPr>
        <w:t>порога</w:t>
      </w:r>
      <w:r>
        <w:rPr>
          <w:rFonts w:cs="Garamond" w:ascii="Garamond" w:hAnsi="Garamond"/>
          <w:sz w:val="22"/>
          <w:szCs w:val="22"/>
          <w:lang w:val="en-US"/>
        </w:rPr>
        <w:t xml:space="preserve"> </w:t>
      </w:r>
      <w:r>
        <w:rPr>
          <w:rFonts w:cs="Garamond" w:ascii="Garamond" w:hAnsi="Garamond"/>
          <w:sz w:val="22"/>
          <w:szCs w:val="22"/>
        </w:rPr>
        <w:t>в</w:t>
      </w:r>
      <w:r>
        <w:rPr>
          <w:rFonts w:cs="Garamond" w:ascii="Garamond" w:hAnsi="Garamond"/>
          <w:sz w:val="22"/>
          <w:szCs w:val="22"/>
          <w:lang w:val="en-US"/>
        </w:rPr>
        <w:t xml:space="preserve"> </w:t>
      </w:r>
      <w:r>
        <w:rPr>
          <w:rFonts w:cs="Garamond" w:ascii="Garamond" w:hAnsi="Garamond"/>
          <w:sz w:val="22"/>
          <w:szCs w:val="22"/>
        </w:rPr>
        <w:t>контексте</w:t>
      </w:r>
      <w:r>
        <w:rPr>
          <w:rFonts w:cs="Garamond" w:ascii="Garamond" w:hAnsi="Garamond"/>
          <w:sz w:val="22"/>
          <w:szCs w:val="22"/>
          <w:lang w:val="en-US"/>
        </w:rPr>
        <w:t xml:space="preserve"> </w:t>
      </w:r>
      <w:r>
        <w:rPr>
          <w:rFonts w:cs="Garamond" w:ascii="Garamond" w:hAnsi="Garamond"/>
          <w:sz w:val="22"/>
          <w:szCs w:val="22"/>
        </w:rPr>
        <w:t>гидрологии</w:t>
      </w:r>
      <w:r>
        <w:rPr>
          <w:rFonts w:cs="Garamond" w:ascii="Garamond" w:hAnsi="Garamond"/>
          <w:sz w:val="22"/>
          <w:szCs w:val="22"/>
          <w:lang w:val="en-US"/>
        </w:rPr>
        <w:t xml:space="preserve"> </w:t>
      </w:r>
      <w:r>
        <w:rPr>
          <w:rFonts w:cs="Garamond" w:ascii="Garamond" w:hAnsi="Garamond"/>
          <w:sz w:val="22"/>
          <w:szCs w:val="22"/>
        </w:rPr>
        <w:t>среднеголоценового</w:t>
      </w:r>
      <w:r>
        <w:rPr>
          <w:rFonts w:cs="Garamond" w:ascii="Garamond" w:hAnsi="Garamond"/>
          <w:sz w:val="22"/>
          <w:szCs w:val="22"/>
          <w:lang w:val="en-US"/>
        </w:rPr>
        <w:t xml:space="preserve"> </w:t>
      </w:r>
      <w:r>
        <w:rPr>
          <w:rFonts w:cs="Garamond" w:ascii="Garamond" w:hAnsi="Garamond"/>
          <w:sz w:val="22"/>
          <w:szCs w:val="22"/>
        </w:rPr>
        <w:t>Нила</w:t>
      </w:r>
      <w:r>
        <w:rPr>
          <w:rFonts w:cs="Garamond" w:ascii="Garamond" w:hAnsi="Garamond"/>
          <w:sz w:val="22"/>
          <w:szCs w:val="22"/>
          <w:lang w:val="en-US"/>
        </w:rPr>
        <w:t xml:space="preserve">. </w:t>
      </w:r>
      <w:r>
        <w:rPr>
          <w:rFonts w:cs="Garamond" w:ascii="Garamond" w:hAnsi="Garamond"/>
          <w:sz w:val="22"/>
          <w:szCs w:val="22"/>
        </w:rPr>
        <w:t>Часть</w:t>
      </w:r>
      <w:r>
        <w:rPr>
          <w:rFonts w:cs="Garamond" w:ascii="Garamond" w:hAnsi="Garamond"/>
          <w:sz w:val="22"/>
          <w:szCs w:val="22"/>
          <w:lang w:val="en-US"/>
        </w:rPr>
        <w:t xml:space="preserve"> I. </w:t>
      </w:r>
      <w:r>
        <w:rPr>
          <w:rFonts w:cs="Garamond" w:ascii="Garamond" w:hAnsi="Garamond"/>
          <w:i/>
          <w:iCs/>
          <w:sz w:val="22"/>
          <w:szCs w:val="22"/>
        </w:rPr>
        <w:t>Вестник</w:t>
      </w:r>
      <w:r>
        <w:rPr>
          <w:rFonts w:cs="Garamond" w:ascii="Garamond" w:hAnsi="Garamond"/>
          <w:i/>
          <w:iCs/>
          <w:sz w:val="22"/>
          <w:szCs w:val="22"/>
          <w:lang w:val="en-US"/>
        </w:rPr>
        <w:t xml:space="preserve"> </w:t>
      </w:r>
      <w:r>
        <w:rPr>
          <w:rFonts w:cs="Garamond" w:ascii="Garamond" w:hAnsi="Garamond"/>
          <w:i/>
          <w:iCs/>
          <w:sz w:val="22"/>
          <w:szCs w:val="22"/>
        </w:rPr>
        <w:t>Института</w:t>
      </w:r>
      <w:r>
        <w:rPr>
          <w:rFonts w:cs="Garamond" w:ascii="Garamond" w:hAnsi="Garamond"/>
          <w:i/>
          <w:iCs/>
          <w:sz w:val="22"/>
          <w:szCs w:val="22"/>
          <w:lang w:val="en-US"/>
        </w:rPr>
        <w:t xml:space="preserve"> </w:t>
      </w:r>
      <w:r>
        <w:rPr>
          <w:rFonts w:cs="Garamond" w:ascii="Garamond" w:hAnsi="Garamond"/>
          <w:i/>
          <w:iCs/>
          <w:sz w:val="22"/>
          <w:szCs w:val="22"/>
        </w:rPr>
        <w:t>востоковедения</w:t>
      </w:r>
      <w:r>
        <w:rPr>
          <w:rFonts w:cs="Garamond" w:ascii="Garamond" w:hAnsi="Garamond"/>
          <w:i/>
          <w:iCs/>
          <w:sz w:val="22"/>
          <w:szCs w:val="22"/>
          <w:lang w:val="en-US"/>
        </w:rPr>
        <w:t xml:space="preserve"> </w:t>
      </w:r>
      <w:r>
        <w:rPr>
          <w:rFonts w:cs="Garamond" w:ascii="Garamond" w:hAnsi="Garamond"/>
          <w:i/>
          <w:iCs/>
          <w:sz w:val="22"/>
          <w:szCs w:val="22"/>
        </w:rPr>
        <w:t>РАН</w:t>
      </w:r>
      <w:r>
        <w:rPr>
          <w:rFonts w:cs="Garamond" w:ascii="Garamond" w:hAnsi="Garamond"/>
          <w:sz w:val="22"/>
          <w:szCs w:val="22"/>
          <w:lang w:val="en-US"/>
        </w:rPr>
        <w:t>. 2019</w:t>
      </w:r>
      <w:r>
        <w:rPr>
          <w:rFonts w:cs="Garamond" w:ascii="Garamond" w:hAnsi="Garamond"/>
          <w:sz w:val="22"/>
          <w:szCs w:val="22"/>
        </w:rPr>
        <w:t>а</w:t>
      </w:r>
      <w:r>
        <w:rPr>
          <w:rFonts w:cs="Garamond" w:ascii="Garamond" w:hAnsi="Garamond"/>
          <w:sz w:val="22"/>
          <w:szCs w:val="22"/>
          <w:lang w:val="en-US"/>
        </w:rPr>
        <w:t xml:space="preserve">. № 3. C. 12–31 [Proussakov D. B. Hypothesis of the “Land of Outpouring of the River”: On Prehistory of the First Cataract in the Context of Hydrology of the Mid-Holocene Nile. Part I. </w:t>
      </w:r>
      <w:r>
        <w:rPr>
          <w:rFonts w:cs="Garamond" w:ascii="Garamond" w:hAnsi="Garamond"/>
          <w:i/>
          <w:iCs/>
          <w:sz w:val="22"/>
          <w:szCs w:val="22"/>
          <w:lang w:val="en-US"/>
        </w:rPr>
        <w:t>Vestnik Instituta vostokovedenija RAN</w:t>
      </w:r>
      <w:r>
        <w:rPr>
          <w:rFonts w:cs="Garamond" w:ascii="Garamond" w:hAnsi="Garamond"/>
          <w:sz w:val="22"/>
          <w:szCs w:val="22"/>
          <w:lang w:val="en-US"/>
        </w:rPr>
        <w:t>. 2019a. 3. Pp. 12–31. (in Russian)].</w:t>
      </w:r>
    </w:p>
    <w:p>
      <w:pPr>
        <w:pStyle w:val="Normal"/>
        <w:ind w:start="720" w:end="-31" w:hanging="720"/>
        <w:jc w:val="both"/>
        <w:rPr>
          <w:rFonts w:ascii="Garamond" w:hAnsi="Garamond" w:cs="Garamond"/>
          <w:sz w:val="22"/>
          <w:szCs w:val="22"/>
        </w:rPr>
      </w:pPr>
      <w:r>
        <w:rPr>
          <w:rFonts w:cs="Garamond" w:ascii="Garamond" w:hAnsi="Garamond"/>
          <w:sz w:val="22"/>
          <w:szCs w:val="22"/>
        </w:rPr>
        <w:t xml:space="preserve">Прусаков Д. Б. «Звериный стиль» до фараонов: египетская додинастическая наскальная и ремесленная изобразительность как палеогеографический источник (возвращение к проблеме). </w:t>
      </w:r>
      <w:r>
        <w:rPr>
          <w:rFonts w:cs="Garamond" w:ascii="Garamond" w:hAnsi="Garamond"/>
          <w:i/>
          <w:sz w:val="22"/>
          <w:szCs w:val="22"/>
        </w:rPr>
        <w:t>Ориенталистика</w:t>
      </w:r>
      <w:r>
        <w:rPr>
          <w:rFonts w:cs="Garamond" w:ascii="Garamond" w:hAnsi="Garamond"/>
          <w:i/>
          <w:sz w:val="22"/>
          <w:szCs w:val="22"/>
          <w:lang w:val="en-US"/>
        </w:rPr>
        <w:t>.</w:t>
      </w:r>
      <w:r>
        <w:rPr>
          <w:rFonts w:cs="Garamond" w:ascii="Garamond" w:hAnsi="Garamond"/>
          <w:sz w:val="22"/>
          <w:szCs w:val="22"/>
          <w:lang w:val="en-US"/>
        </w:rPr>
        <w:t xml:space="preserve"> 2019</w:t>
      </w:r>
      <w:r>
        <w:rPr>
          <w:rFonts w:cs="Garamond" w:ascii="Garamond" w:hAnsi="Garamond"/>
          <w:sz w:val="22"/>
          <w:szCs w:val="22"/>
        </w:rPr>
        <w:t>б</w:t>
      </w:r>
      <w:r>
        <w:rPr>
          <w:rFonts w:cs="Garamond" w:ascii="Garamond" w:hAnsi="Garamond"/>
          <w:sz w:val="22"/>
          <w:szCs w:val="22"/>
          <w:lang w:val="en-US"/>
        </w:rPr>
        <w:t xml:space="preserve">. № 2 (3). C. 493–538 [Proussakov D. B. “Animal style” Before the Pharaohs: Egyptian Predynastic Rock-Art and Handicraft Representationism as a Palaeogeographical Source (Return to the Problem). </w:t>
      </w:r>
      <w:r>
        <w:rPr>
          <w:rFonts w:cs="Garamond" w:ascii="Garamond" w:hAnsi="Garamond"/>
          <w:i/>
          <w:sz w:val="22"/>
          <w:szCs w:val="22"/>
          <w:lang w:val="en-US"/>
        </w:rPr>
        <w:t>Orientalistica.</w:t>
      </w:r>
      <w:r>
        <w:rPr>
          <w:rFonts w:cs="Garamond" w:ascii="Garamond" w:hAnsi="Garamond"/>
          <w:sz w:val="22"/>
          <w:szCs w:val="22"/>
          <w:lang w:val="en-US"/>
        </w:rPr>
        <w:t xml:space="preserve"> 2019b. 2</w:t>
      </w:r>
      <w:r>
        <w:rPr>
          <w:rFonts w:cs="Garamond" w:ascii="Garamond" w:hAnsi="Garamond"/>
          <w:sz w:val="22"/>
          <w:szCs w:val="22"/>
        </w:rPr>
        <w:t> </w:t>
      </w:r>
      <w:r>
        <w:rPr>
          <w:rFonts w:cs="Garamond" w:ascii="Garamond" w:hAnsi="Garamond"/>
          <w:sz w:val="22"/>
          <w:szCs w:val="22"/>
          <w:lang w:val="en-US"/>
        </w:rPr>
        <w:t>(3). Pp. 493–538. (in</w:t>
      </w:r>
      <w:r>
        <w:rPr>
          <w:rFonts w:cs="Garamond" w:ascii="Garamond" w:hAnsi="Garamond"/>
          <w:sz w:val="22"/>
          <w:szCs w:val="22"/>
        </w:rPr>
        <w:t> </w:t>
      </w:r>
      <w:r>
        <w:rPr>
          <w:rFonts w:cs="Garamond" w:ascii="Garamond" w:hAnsi="Garamond"/>
          <w:sz w:val="22"/>
          <w:szCs w:val="22"/>
          <w:lang w:val="en-US"/>
        </w:rPr>
        <w:t>Russian)].</w:t>
      </w:r>
    </w:p>
    <w:p>
      <w:pPr>
        <w:pStyle w:val="Normal"/>
        <w:ind w:start="720" w:end="-31" w:hanging="720"/>
        <w:jc w:val="both"/>
        <w:rPr/>
      </w:pPr>
      <w:r>
        <w:rPr>
          <w:rFonts w:cs="Garamond" w:ascii="Garamond" w:hAnsi="Garamond"/>
          <w:sz w:val="22"/>
          <w:szCs w:val="22"/>
        </w:rPr>
        <w:t>Прусаков</w:t>
      </w:r>
      <w:r>
        <w:rPr>
          <w:rFonts w:cs="Garamond" w:ascii="Garamond" w:hAnsi="Garamond"/>
          <w:sz w:val="22"/>
          <w:szCs w:val="22"/>
          <w:lang w:val="en-US"/>
        </w:rPr>
        <w:t> </w:t>
      </w:r>
      <w:r>
        <w:rPr>
          <w:rFonts w:cs="Garamond" w:ascii="Garamond" w:hAnsi="Garamond"/>
          <w:sz w:val="22"/>
          <w:szCs w:val="22"/>
        </w:rPr>
        <w:t>Д.</w:t>
      </w:r>
      <w:r>
        <w:rPr>
          <w:rFonts w:cs="Garamond" w:ascii="Garamond" w:hAnsi="Garamond"/>
          <w:sz w:val="22"/>
          <w:szCs w:val="22"/>
          <w:lang w:val="en-US"/>
        </w:rPr>
        <w:t> </w:t>
      </w:r>
      <w:r>
        <w:rPr>
          <w:rFonts w:cs="Garamond" w:ascii="Garamond" w:hAnsi="Garamond"/>
          <w:sz w:val="22"/>
          <w:szCs w:val="22"/>
        </w:rPr>
        <w:t xml:space="preserve">Б. Нил до гидростроительства: речной бассейн и предыстория «водохранилищ столетия» (к проблеме «голоценового моря» в Среднем Египте). </w:t>
      </w:r>
      <w:r>
        <w:rPr>
          <w:rFonts w:cs="Garamond" w:ascii="Garamond" w:hAnsi="Garamond"/>
          <w:i/>
          <w:iCs/>
          <w:sz w:val="22"/>
          <w:szCs w:val="22"/>
        </w:rPr>
        <w:t>Вестник</w:t>
      </w:r>
      <w:r>
        <w:rPr>
          <w:rFonts w:cs="Garamond" w:ascii="Garamond" w:hAnsi="Garamond"/>
          <w:i/>
          <w:iCs/>
          <w:sz w:val="22"/>
          <w:szCs w:val="22"/>
          <w:lang w:val="en-US"/>
        </w:rPr>
        <w:t xml:space="preserve"> </w:t>
      </w:r>
      <w:r>
        <w:rPr>
          <w:rFonts w:cs="Garamond" w:ascii="Garamond" w:hAnsi="Garamond"/>
          <w:i/>
          <w:iCs/>
          <w:sz w:val="22"/>
          <w:szCs w:val="22"/>
        </w:rPr>
        <w:t>Института</w:t>
      </w:r>
      <w:r>
        <w:rPr>
          <w:rFonts w:cs="Garamond" w:ascii="Garamond" w:hAnsi="Garamond"/>
          <w:i/>
          <w:iCs/>
          <w:sz w:val="22"/>
          <w:szCs w:val="22"/>
          <w:lang w:val="en-US"/>
        </w:rPr>
        <w:t xml:space="preserve"> </w:t>
      </w:r>
      <w:r>
        <w:rPr>
          <w:rFonts w:cs="Garamond" w:ascii="Garamond" w:hAnsi="Garamond"/>
          <w:i/>
          <w:iCs/>
          <w:sz w:val="22"/>
          <w:szCs w:val="22"/>
        </w:rPr>
        <w:t>востоковедения</w:t>
      </w:r>
      <w:r>
        <w:rPr>
          <w:rFonts w:cs="Garamond" w:ascii="Garamond" w:hAnsi="Garamond"/>
          <w:i/>
          <w:iCs/>
          <w:sz w:val="22"/>
          <w:szCs w:val="22"/>
          <w:lang w:val="en-US"/>
        </w:rPr>
        <w:t xml:space="preserve"> </w:t>
      </w:r>
      <w:r>
        <w:rPr>
          <w:rFonts w:cs="Garamond" w:ascii="Garamond" w:hAnsi="Garamond"/>
          <w:i/>
          <w:iCs/>
          <w:sz w:val="22"/>
          <w:szCs w:val="22"/>
        </w:rPr>
        <w:t>РАН</w:t>
      </w:r>
      <w:r>
        <w:rPr>
          <w:rFonts w:cs="Garamond" w:ascii="Garamond" w:hAnsi="Garamond"/>
          <w:sz w:val="22"/>
          <w:szCs w:val="22"/>
          <w:lang w:val="en-US"/>
        </w:rPr>
        <w:t>. 2019</w:t>
      </w:r>
      <w:r>
        <w:rPr>
          <w:rFonts w:cs="Garamond" w:ascii="Garamond" w:hAnsi="Garamond"/>
          <w:sz w:val="22"/>
          <w:szCs w:val="22"/>
        </w:rPr>
        <w:t>в</w:t>
      </w:r>
      <w:r>
        <w:rPr>
          <w:rFonts w:cs="Garamond" w:ascii="Garamond" w:hAnsi="Garamond"/>
          <w:sz w:val="22"/>
          <w:szCs w:val="22"/>
          <w:lang w:val="en-US"/>
        </w:rPr>
        <w:t xml:space="preserve">. № 2. C. 74–90 [Proussakov D. B. The Nile Before the Hydraulic Construction: The River Drainage Basin and Prehistory of the “Century Storage” (To the Problem of “Holocene Sea” in Middle Egypt). </w:t>
      </w:r>
      <w:r>
        <w:rPr>
          <w:rFonts w:cs="Garamond" w:ascii="Garamond" w:hAnsi="Garamond"/>
          <w:i/>
          <w:iCs/>
          <w:sz w:val="22"/>
          <w:szCs w:val="22"/>
          <w:lang w:val="en-US"/>
        </w:rPr>
        <w:t>Vestnik Instituta vostokovedenija RAN</w:t>
      </w:r>
      <w:r>
        <w:rPr>
          <w:rFonts w:cs="Garamond" w:ascii="Garamond" w:hAnsi="Garamond"/>
          <w:sz w:val="22"/>
          <w:szCs w:val="22"/>
          <w:lang w:val="en-US"/>
        </w:rPr>
        <w:t>. 2019c. 2. Pp. 74–90. (in Russian)].</w:t>
      </w:r>
    </w:p>
    <w:p>
      <w:pPr>
        <w:pStyle w:val="Normal"/>
        <w:ind w:start="720" w:end="-31" w:hanging="720"/>
        <w:jc w:val="both"/>
        <w:rPr>
          <w:rFonts w:ascii="Garamond" w:hAnsi="Garamond" w:cs="Garamond"/>
          <w:sz w:val="22"/>
          <w:szCs w:val="22"/>
        </w:rPr>
      </w:pPr>
      <w:r>
        <w:rPr>
          <w:rFonts w:cs="Garamond" w:ascii="Garamond" w:hAnsi="Garamond"/>
          <w:sz w:val="22"/>
          <w:szCs w:val="22"/>
        </w:rPr>
        <w:t>Прусаков</w:t>
      </w:r>
      <w:r>
        <w:rPr>
          <w:rFonts w:cs="Garamond" w:ascii="Garamond" w:hAnsi="Garamond"/>
          <w:sz w:val="22"/>
          <w:szCs w:val="22"/>
          <w:lang w:val="en-US"/>
        </w:rPr>
        <w:t> </w:t>
      </w:r>
      <w:r>
        <w:rPr>
          <w:rFonts w:cs="Garamond" w:ascii="Garamond" w:hAnsi="Garamond"/>
          <w:sz w:val="22"/>
          <w:szCs w:val="22"/>
        </w:rPr>
        <w:t>Д</w:t>
      </w:r>
      <w:r>
        <w:rPr>
          <w:rFonts w:cs="Garamond" w:ascii="Garamond" w:hAnsi="Garamond"/>
          <w:sz w:val="22"/>
          <w:szCs w:val="22"/>
          <w:lang w:val="en-US"/>
        </w:rPr>
        <w:t>. </w:t>
      </w:r>
      <w:r>
        <w:rPr>
          <w:rFonts w:cs="Garamond" w:ascii="Garamond" w:hAnsi="Garamond"/>
          <w:sz w:val="22"/>
          <w:szCs w:val="22"/>
        </w:rPr>
        <w:t>Б</w:t>
      </w:r>
      <w:r>
        <w:rPr>
          <w:rFonts w:cs="Garamond" w:ascii="Garamond" w:hAnsi="Garamond"/>
          <w:sz w:val="22"/>
          <w:szCs w:val="22"/>
          <w:lang w:val="en-US"/>
        </w:rPr>
        <w:t xml:space="preserve">. </w:t>
      </w:r>
      <w:r>
        <w:rPr>
          <w:rFonts w:cs="Garamond" w:ascii="Garamond" w:hAnsi="Garamond"/>
          <w:sz w:val="22"/>
          <w:szCs w:val="22"/>
        </w:rPr>
        <w:t>Гипотеза</w:t>
      </w:r>
      <w:r>
        <w:rPr>
          <w:rFonts w:cs="Garamond" w:ascii="Garamond" w:hAnsi="Garamond"/>
          <w:sz w:val="22"/>
          <w:szCs w:val="22"/>
          <w:lang w:val="en-US"/>
        </w:rPr>
        <w:t xml:space="preserve"> </w:t>
      </w:r>
      <w:r>
        <w:rPr>
          <w:rFonts w:cs="Garamond" w:ascii="Garamond" w:hAnsi="Garamond"/>
          <w:sz w:val="22"/>
          <w:szCs w:val="22"/>
        </w:rPr>
        <w:t>о</w:t>
      </w:r>
      <w:r>
        <w:rPr>
          <w:rFonts w:cs="Garamond" w:ascii="Garamond" w:hAnsi="Garamond"/>
          <w:sz w:val="22"/>
          <w:szCs w:val="22"/>
          <w:lang w:val="en-US"/>
        </w:rPr>
        <w:t xml:space="preserve"> «</w:t>
      </w:r>
      <w:r>
        <w:rPr>
          <w:rFonts w:cs="Garamond" w:ascii="Garamond" w:hAnsi="Garamond"/>
          <w:sz w:val="22"/>
          <w:szCs w:val="22"/>
        </w:rPr>
        <w:t>Земле</w:t>
      </w:r>
      <w:r>
        <w:rPr>
          <w:rFonts w:cs="Garamond" w:ascii="Garamond" w:hAnsi="Garamond"/>
          <w:sz w:val="22"/>
          <w:szCs w:val="22"/>
          <w:lang w:val="en-US"/>
        </w:rPr>
        <w:t xml:space="preserve"> </w:t>
      </w:r>
      <w:r>
        <w:rPr>
          <w:rFonts w:cs="Garamond" w:ascii="Garamond" w:hAnsi="Garamond"/>
          <w:sz w:val="22"/>
          <w:szCs w:val="22"/>
        </w:rPr>
        <w:t>излияния</w:t>
      </w:r>
      <w:r>
        <w:rPr>
          <w:rFonts w:cs="Garamond" w:ascii="Garamond" w:hAnsi="Garamond"/>
          <w:sz w:val="22"/>
          <w:szCs w:val="22"/>
          <w:lang w:val="en-US"/>
        </w:rPr>
        <w:t xml:space="preserve"> </w:t>
      </w:r>
      <w:r>
        <w:rPr>
          <w:rFonts w:cs="Garamond" w:ascii="Garamond" w:hAnsi="Garamond"/>
          <w:sz w:val="22"/>
          <w:szCs w:val="22"/>
        </w:rPr>
        <w:t>Реки</w:t>
      </w:r>
      <w:r>
        <w:rPr>
          <w:rFonts w:cs="Garamond" w:ascii="Garamond" w:hAnsi="Garamond"/>
          <w:sz w:val="22"/>
          <w:szCs w:val="22"/>
          <w:lang w:val="en-US"/>
        </w:rPr>
        <w:t xml:space="preserve">»: </w:t>
      </w:r>
      <w:r>
        <w:rPr>
          <w:rFonts w:cs="Garamond" w:ascii="Garamond" w:hAnsi="Garamond"/>
          <w:sz w:val="22"/>
          <w:szCs w:val="22"/>
        </w:rPr>
        <w:t>к</w:t>
      </w:r>
      <w:r>
        <w:rPr>
          <w:rFonts w:cs="Garamond" w:ascii="Garamond" w:hAnsi="Garamond"/>
          <w:sz w:val="22"/>
          <w:szCs w:val="22"/>
          <w:lang w:val="en-US"/>
        </w:rPr>
        <w:t xml:space="preserve"> </w:t>
      </w:r>
      <w:r>
        <w:rPr>
          <w:rFonts w:cs="Garamond" w:ascii="Garamond" w:hAnsi="Garamond"/>
          <w:sz w:val="22"/>
          <w:szCs w:val="22"/>
        </w:rPr>
        <w:t>предыстории</w:t>
      </w:r>
      <w:r>
        <w:rPr>
          <w:rFonts w:cs="Garamond" w:ascii="Garamond" w:hAnsi="Garamond"/>
          <w:sz w:val="22"/>
          <w:szCs w:val="22"/>
          <w:lang w:val="en-US"/>
        </w:rPr>
        <w:t xml:space="preserve"> 1-</w:t>
      </w:r>
      <w:r>
        <w:rPr>
          <w:rFonts w:cs="Garamond" w:ascii="Garamond" w:hAnsi="Garamond"/>
          <w:sz w:val="22"/>
          <w:szCs w:val="22"/>
        </w:rPr>
        <w:t>го</w:t>
      </w:r>
      <w:r>
        <w:rPr>
          <w:rFonts w:cs="Garamond" w:ascii="Garamond" w:hAnsi="Garamond"/>
          <w:sz w:val="22"/>
          <w:szCs w:val="22"/>
          <w:lang w:val="en-US"/>
        </w:rPr>
        <w:t xml:space="preserve"> </w:t>
      </w:r>
      <w:r>
        <w:rPr>
          <w:rFonts w:cs="Garamond" w:ascii="Garamond" w:hAnsi="Garamond"/>
          <w:sz w:val="22"/>
          <w:szCs w:val="22"/>
        </w:rPr>
        <w:t>порога</w:t>
      </w:r>
      <w:r>
        <w:rPr>
          <w:rFonts w:cs="Garamond" w:ascii="Garamond" w:hAnsi="Garamond"/>
          <w:sz w:val="22"/>
          <w:szCs w:val="22"/>
          <w:lang w:val="en-US"/>
        </w:rPr>
        <w:t xml:space="preserve"> </w:t>
      </w:r>
      <w:r>
        <w:rPr>
          <w:rFonts w:cs="Garamond" w:ascii="Garamond" w:hAnsi="Garamond"/>
          <w:sz w:val="22"/>
          <w:szCs w:val="22"/>
        </w:rPr>
        <w:t>в</w:t>
      </w:r>
      <w:r>
        <w:rPr>
          <w:rFonts w:cs="Garamond" w:ascii="Garamond" w:hAnsi="Garamond"/>
          <w:sz w:val="22"/>
          <w:szCs w:val="22"/>
          <w:lang w:val="en-US"/>
        </w:rPr>
        <w:t xml:space="preserve"> </w:t>
      </w:r>
      <w:r>
        <w:rPr>
          <w:rFonts w:cs="Garamond" w:ascii="Garamond" w:hAnsi="Garamond"/>
          <w:sz w:val="22"/>
          <w:szCs w:val="22"/>
        </w:rPr>
        <w:t>контексте</w:t>
      </w:r>
      <w:r>
        <w:rPr>
          <w:rFonts w:cs="Garamond" w:ascii="Garamond" w:hAnsi="Garamond"/>
          <w:sz w:val="22"/>
          <w:szCs w:val="22"/>
          <w:lang w:val="en-US"/>
        </w:rPr>
        <w:t xml:space="preserve"> </w:t>
      </w:r>
      <w:r>
        <w:rPr>
          <w:rFonts w:cs="Garamond" w:ascii="Garamond" w:hAnsi="Garamond"/>
          <w:sz w:val="22"/>
          <w:szCs w:val="22"/>
        </w:rPr>
        <w:t>гидрологии</w:t>
      </w:r>
      <w:r>
        <w:rPr>
          <w:rFonts w:cs="Garamond" w:ascii="Garamond" w:hAnsi="Garamond"/>
          <w:sz w:val="22"/>
          <w:szCs w:val="22"/>
          <w:lang w:val="en-US"/>
        </w:rPr>
        <w:t xml:space="preserve"> </w:t>
      </w:r>
      <w:r>
        <w:rPr>
          <w:rFonts w:cs="Garamond" w:ascii="Garamond" w:hAnsi="Garamond"/>
          <w:sz w:val="22"/>
          <w:szCs w:val="22"/>
        </w:rPr>
        <w:t>среднеголоценового</w:t>
      </w:r>
      <w:r>
        <w:rPr>
          <w:rFonts w:cs="Garamond" w:ascii="Garamond" w:hAnsi="Garamond"/>
          <w:sz w:val="22"/>
          <w:szCs w:val="22"/>
          <w:lang w:val="en-US"/>
        </w:rPr>
        <w:t xml:space="preserve"> </w:t>
      </w:r>
      <w:r>
        <w:rPr>
          <w:rFonts w:cs="Garamond" w:ascii="Garamond" w:hAnsi="Garamond"/>
          <w:sz w:val="22"/>
          <w:szCs w:val="22"/>
        </w:rPr>
        <w:t>Нила</w:t>
      </w:r>
      <w:r>
        <w:rPr>
          <w:rFonts w:cs="Garamond" w:ascii="Garamond" w:hAnsi="Garamond"/>
          <w:sz w:val="22"/>
          <w:szCs w:val="22"/>
          <w:lang w:val="en-US"/>
        </w:rPr>
        <w:t xml:space="preserve">. </w:t>
      </w:r>
      <w:r>
        <w:rPr>
          <w:rFonts w:cs="Garamond" w:ascii="Garamond" w:hAnsi="Garamond"/>
          <w:sz w:val="22"/>
          <w:szCs w:val="22"/>
        </w:rPr>
        <w:t>Часть </w:t>
      </w:r>
      <w:r>
        <w:rPr>
          <w:rFonts w:cs="Garamond" w:ascii="Garamond" w:hAnsi="Garamond"/>
          <w:sz w:val="22"/>
          <w:szCs w:val="22"/>
          <w:lang w:val="en-US"/>
        </w:rPr>
        <w:t xml:space="preserve">II. </w:t>
      </w:r>
      <w:r>
        <w:rPr>
          <w:rFonts w:cs="Garamond" w:ascii="Garamond" w:hAnsi="Garamond"/>
          <w:i/>
          <w:iCs/>
          <w:sz w:val="22"/>
          <w:szCs w:val="22"/>
        </w:rPr>
        <w:t>Вестник</w:t>
      </w:r>
      <w:r>
        <w:rPr>
          <w:rFonts w:cs="Garamond" w:ascii="Garamond" w:hAnsi="Garamond"/>
          <w:i/>
          <w:iCs/>
          <w:sz w:val="22"/>
          <w:szCs w:val="22"/>
          <w:lang w:val="en-US"/>
        </w:rPr>
        <w:t xml:space="preserve"> </w:t>
      </w:r>
      <w:r>
        <w:rPr>
          <w:rFonts w:cs="Garamond" w:ascii="Garamond" w:hAnsi="Garamond"/>
          <w:i/>
          <w:iCs/>
          <w:sz w:val="22"/>
          <w:szCs w:val="22"/>
        </w:rPr>
        <w:t>Института</w:t>
      </w:r>
      <w:r>
        <w:rPr>
          <w:rFonts w:cs="Garamond" w:ascii="Garamond" w:hAnsi="Garamond"/>
          <w:i/>
          <w:iCs/>
          <w:sz w:val="22"/>
          <w:szCs w:val="22"/>
          <w:lang w:val="en-US"/>
        </w:rPr>
        <w:t xml:space="preserve"> </w:t>
      </w:r>
      <w:r>
        <w:rPr>
          <w:rFonts w:cs="Garamond" w:ascii="Garamond" w:hAnsi="Garamond"/>
          <w:i/>
          <w:iCs/>
          <w:sz w:val="22"/>
          <w:szCs w:val="22"/>
        </w:rPr>
        <w:t>востоковедения</w:t>
      </w:r>
      <w:r>
        <w:rPr>
          <w:rFonts w:cs="Garamond" w:ascii="Garamond" w:hAnsi="Garamond"/>
          <w:i/>
          <w:iCs/>
          <w:sz w:val="22"/>
          <w:szCs w:val="22"/>
          <w:lang w:val="en-US"/>
        </w:rPr>
        <w:t xml:space="preserve"> </w:t>
      </w:r>
      <w:r>
        <w:rPr>
          <w:rFonts w:cs="Garamond" w:ascii="Garamond" w:hAnsi="Garamond"/>
          <w:i/>
          <w:iCs/>
          <w:sz w:val="22"/>
          <w:szCs w:val="22"/>
        </w:rPr>
        <w:t>РАН</w:t>
      </w:r>
      <w:r>
        <w:rPr>
          <w:rFonts w:cs="Garamond" w:ascii="Garamond" w:hAnsi="Garamond"/>
          <w:sz w:val="22"/>
          <w:szCs w:val="22"/>
          <w:lang w:val="en-US"/>
        </w:rPr>
        <w:t>. 2020</w:t>
      </w:r>
      <w:r>
        <w:rPr>
          <w:rFonts w:cs="Garamond" w:ascii="Garamond" w:hAnsi="Garamond"/>
          <w:sz w:val="22"/>
          <w:szCs w:val="22"/>
        </w:rPr>
        <w:t>а</w:t>
      </w:r>
      <w:r>
        <w:rPr>
          <w:rFonts w:cs="Garamond" w:ascii="Garamond" w:hAnsi="Garamond"/>
          <w:sz w:val="22"/>
          <w:szCs w:val="22"/>
          <w:lang w:val="en-US"/>
        </w:rPr>
        <w:t xml:space="preserve">. № 1. C. 12–32 [Proussakov D. B. Hypothesis of the “Land of Outpouring of the River”: On Prehistory of the First Cataract in the Context of Hydrology of the Mid-Holocene Nile. Part II. </w:t>
      </w:r>
      <w:r>
        <w:rPr>
          <w:rFonts w:cs="Garamond" w:ascii="Garamond" w:hAnsi="Garamond"/>
          <w:i/>
          <w:iCs/>
          <w:sz w:val="22"/>
          <w:szCs w:val="22"/>
          <w:lang w:val="en-US"/>
        </w:rPr>
        <w:t>Vestnik Instituta vostokovedenija RAN</w:t>
      </w:r>
      <w:r>
        <w:rPr>
          <w:rFonts w:cs="Garamond" w:ascii="Garamond" w:hAnsi="Garamond"/>
          <w:sz w:val="22"/>
          <w:szCs w:val="22"/>
          <w:lang w:val="en-US"/>
        </w:rPr>
        <w:t>. 2020</w:t>
      </w:r>
      <w:r>
        <w:rPr>
          <w:rFonts w:cs="Garamond" w:ascii="Garamond" w:hAnsi="Garamond"/>
          <w:sz w:val="22"/>
          <w:szCs w:val="22"/>
        </w:rPr>
        <w:t>а</w:t>
      </w:r>
      <w:r>
        <w:rPr>
          <w:rFonts w:cs="Garamond" w:ascii="Garamond" w:hAnsi="Garamond"/>
          <w:sz w:val="22"/>
          <w:szCs w:val="22"/>
          <w:lang w:val="en-US"/>
        </w:rPr>
        <w:t>. 1. Pp. 12–32 (in Russian)].</w:t>
      </w:r>
    </w:p>
    <w:p>
      <w:pPr>
        <w:pStyle w:val="Normal"/>
        <w:ind w:start="720" w:end="-31" w:hanging="720"/>
        <w:jc w:val="both"/>
        <w:rPr>
          <w:rFonts w:ascii="Garamond" w:hAnsi="Garamond" w:cs="Garamond"/>
          <w:sz w:val="22"/>
          <w:szCs w:val="22"/>
        </w:rPr>
      </w:pPr>
      <w:r>
        <w:rPr>
          <w:rFonts w:cs="Garamond" w:ascii="Garamond" w:hAnsi="Garamond"/>
          <w:sz w:val="22"/>
          <w:szCs w:val="22"/>
        </w:rPr>
        <w:t>Прусаков Д. Б. Гипотеза о «Земле излияния Реки»: к предыстории 1-го порога в контексте гидрологии среднеголоценового Нила. Часть </w:t>
      </w:r>
      <w:r>
        <w:rPr>
          <w:rFonts w:cs="Garamond" w:ascii="Garamond" w:hAnsi="Garamond"/>
          <w:sz w:val="22"/>
          <w:szCs w:val="22"/>
          <w:lang w:val="en-US"/>
        </w:rPr>
        <w:t xml:space="preserve">III. </w:t>
      </w:r>
      <w:r>
        <w:rPr>
          <w:rFonts w:cs="Garamond" w:ascii="Garamond" w:hAnsi="Garamond"/>
          <w:i/>
          <w:sz w:val="22"/>
          <w:szCs w:val="22"/>
        </w:rPr>
        <w:t>Вестник</w:t>
      </w:r>
      <w:r>
        <w:rPr>
          <w:rFonts w:cs="Garamond" w:ascii="Garamond" w:hAnsi="Garamond"/>
          <w:i/>
          <w:sz w:val="22"/>
          <w:szCs w:val="22"/>
          <w:lang w:val="en-US"/>
        </w:rPr>
        <w:t xml:space="preserve"> </w:t>
      </w:r>
      <w:r>
        <w:rPr>
          <w:rFonts w:cs="Garamond" w:ascii="Garamond" w:hAnsi="Garamond"/>
          <w:i/>
          <w:sz w:val="22"/>
          <w:szCs w:val="22"/>
        </w:rPr>
        <w:t>Института</w:t>
      </w:r>
      <w:r>
        <w:rPr>
          <w:rFonts w:cs="Garamond" w:ascii="Garamond" w:hAnsi="Garamond"/>
          <w:i/>
          <w:sz w:val="22"/>
          <w:szCs w:val="22"/>
          <w:lang w:val="en-US"/>
        </w:rPr>
        <w:t xml:space="preserve"> </w:t>
      </w:r>
      <w:r>
        <w:rPr>
          <w:rFonts w:cs="Garamond" w:ascii="Garamond" w:hAnsi="Garamond"/>
          <w:i/>
          <w:sz w:val="22"/>
          <w:szCs w:val="22"/>
        </w:rPr>
        <w:t>востоковедения</w:t>
      </w:r>
      <w:r>
        <w:rPr>
          <w:rFonts w:cs="Garamond" w:ascii="Garamond" w:hAnsi="Garamond"/>
          <w:i/>
          <w:sz w:val="22"/>
          <w:szCs w:val="22"/>
          <w:lang w:val="en-US"/>
        </w:rPr>
        <w:t xml:space="preserve"> </w:t>
      </w:r>
      <w:r>
        <w:rPr>
          <w:rFonts w:cs="Garamond" w:ascii="Garamond" w:hAnsi="Garamond"/>
          <w:i/>
          <w:sz w:val="22"/>
          <w:szCs w:val="22"/>
        </w:rPr>
        <w:t>РАН</w:t>
      </w:r>
      <w:r>
        <w:rPr>
          <w:rFonts w:cs="Garamond" w:ascii="Garamond" w:hAnsi="Garamond"/>
          <w:sz w:val="22"/>
          <w:szCs w:val="22"/>
          <w:lang w:val="en-US"/>
        </w:rPr>
        <w:t>. 2020</w:t>
      </w:r>
      <w:r>
        <w:rPr>
          <w:rFonts w:cs="Garamond" w:ascii="Garamond" w:hAnsi="Garamond"/>
          <w:sz w:val="22"/>
          <w:szCs w:val="22"/>
        </w:rPr>
        <w:t>б</w:t>
      </w:r>
      <w:r>
        <w:rPr>
          <w:rFonts w:cs="Garamond" w:ascii="Garamond" w:hAnsi="Garamond"/>
          <w:sz w:val="22"/>
          <w:szCs w:val="22"/>
          <w:lang w:val="en-US"/>
        </w:rPr>
        <w:t xml:space="preserve">. 2. C. 109–128 [Proussakov D. B. Hypothesis of the “Land of Outpouring of the River”: On Prehistory of the First Cataract in the Context of Hydrology of the Mid-Holocene Nile. Part III. </w:t>
      </w:r>
      <w:r>
        <w:rPr>
          <w:rFonts w:cs="Garamond" w:ascii="Garamond" w:hAnsi="Garamond"/>
          <w:i/>
          <w:sz w:val="22"/>
          <w:szCs w:val="22"/>
          <w:lang w:val="en-US"/>
        </w:rPr>
        <w:t>Vestnik Instituta vostokovedenija RAN.</w:t>
      </w:r>
      <w:r>
        <w:rPr>
          <w:rFonts w:cs="Garamond" w:ascii="Garamond" w:hAnsi="Garamond"/>
          <w:sz w:val="22"/>
          <w:szCs w:val="22"/>
          <w:lang w:val="en-US"/>
        </w:rPr>
        <w:t xml:space="preserve"> 2020b. 2. Pp. 109–128 (in Russian)].</w:t>
      </w:r>
    </w:p>
    <w:p>
      <w:pPr>
        <w:pStyle w:val="Normal"/>
        <w:ind w:start="720" w:end="-31" w:hanging="720"/>
        <w:jc w:val="both"/>
        <w:rPr/>
      </w:pPr>
      <w:r>
        <w:rPr>
          <w:rFonts w:cs="Garamond" w:ascii="Garamond" w:hAnsi="Garamond"/>
          <w:sz w:val="22"/>
          <w:szCs w:val="22"/>
        </w:rPr>
        <w:t>Рол</w:t>
      </w:r>
      <w:r>
        <w:rPr>
          <w:rFonts w:cs="Garamond" w:ascii="Garamond" w:hAnsi="Garamond"/>
          <w:sz w:val="22"/>
          <w:szCs w:val="22"/>
          <w:lang w:val="en-US"/>
        </w:rPr>
        <w:t> </w:t>
      </w:r>
      <w:r>
        <w:rPr>
          <w:rFonts w:cs="Garamond" w:ascii="Garamond" w:hAnsi="Garamond"/>
          <w:sz w:val="22"/>
          <w:szCs w:val="22"/>
        </w:rPr>
        <w:t>Д</w:t>
      </w:r>
      <w:r>
        <w:rPr>
          <w:rFonts w:cs="Garamond" w:ascii="Garamond" w:hAnsi="Garamond"/>
          <w:sz w:val="22"/>
          <w:szCs w:val="22"/>
          <w:lang w:val="en-US"/>
        </w:rPr>
        <w:t xml:space="preserve">. </w:t>
      </w:r>
      <w:r>
        <w:rPr>
          <w:rFonts w:cs="Garamond" w:ascii="Garamond" w:hAnsi="Garamond"/>
          <w:i/>
          <w:sz w:val="22"/>
          <w:szCs w:val="22"/>
        </w:rPr>
        <w:t>Генезис</w:t>
      </w:r>
      <w:r>
        <w:rPr>
          <w:rFonts w:cs="Garamond" w:ascii="Garamond" w:hAnsi="Garamond"/>
          <w:i/>
          <w:sz w:val="22"/>
          <w:szCs w:val="22"/>
          <w:lang w:val="en-US"/>
        </w:rPr>
        <w:t xml:space="preserve"> </w:t>
      </w:r>
      <w:r>
        <w:rPr>
          <w:rFonts w:cs="Garamond" w:ascii="Garamond" w:hAnsi="Garamond"/>
          <w:i/>
          <w:sz w:val="22"/>
          <w:szCs w:val="22"/>
        </w:rPr>
        <w:t>цивилизации</w:t>
      </w:r>
      <w:r>
        <w:rPr>
          <w:rFonts w:cs="Garamond" w:ascii="Garamond" w:hAnsi="Garamond"/>
          <w:i/>
          <w:sz w:val="22"/>
          <w:szCs w:val="22"/>
          <w:lang w:val="en-US"/>
        </w:rPr>
        <w:t xml:space="preserve">. </w:t>
      </w:r>
      <w:r>
        <w:rPr>
          <w:rFonts w:cs="Garamond" w:ascii="Garamond" w:hAnsi="Garamond"/>
          <w:i/>
          <w:sz w:val="22"/>
          <w:szCs w:val="22"/>
        </w:rPr>
        <w:t>Откуда</w:t>
      </w:r>
      <w:r>
        <w:rPr>
          <w:rFonts w:cs="Garamond" w:ascii="Garamond" w:hAnsi="Garamond"/>
          <w:i/>
          <w:sz w:val="22"/>
          <w:szCs w:val="22"/>
          <w:lang w:val="en-US"/>
        </w:rPr>
        <w:t xml:space="preserve"> </w:t>
      </w:r>
      <w:r>
        <w:rPr>
          <w:rFonts w:cs="Garamond" w:ascii="Garamond" w:hAnsi="Garamond"/>
          <w:i/>
          <w:sz w:val="22"/>
          <w:szCs w:val="22"/>
        </w:rPr>
        <w:t>мы</w:t>
      </w:r>
      <w:r>
        <w:rPr>
          <w:rFonts w:cs="Garamond" w:ascii="Garamond" w:hAnsi="Garamond"/>
          <w:i/>
          <w:sz w:val="22"/>
          <w:szCs w:val="22"/>
          <w:lang w:val="en-US"/>
        </w:rPr>
        <w:t xml:space="preserve"> </w:t>
      </w:r>
      <w:r>
        <w:rPr>
          <w:rFonts w:cs="Garamond" w:ascii="Garamond" w:hAnsi="Garamond"/>
          <w:i/>
          <w:sz w:val="22"/>
          <w:szCs w:val="22"/>
        </w:rPr>
        <w:t>произошли</w:t>
      </w:r>
      <w:r>
        <w:rPr>
          <w:rFonts w:cs="Garamond" w:ascii="Garamond" w:hAnsi="Garamond"/>
          <w:sz w:val="22"/>
          <w:szCs w:val="22"/>
          <w:lang w:val="en-US"/>
        </w:rPr>
        <w:t xml:space="preserve">. </w:t>
      </w:r>
      <w:r>
        <w:rPr>
          <w:rFonts w:cs="Garamond" w:ascii="Garamond" w:hAnsi="Garamond"/>
          <w:sz w:val="22"/>
          <w:szCs w:val="22"/>
        </w:rPr>
        <w:t>М</w:t>
      </w:r>
      <w:r>
        <w:rPr>
          <w:rFonts w:cs="Garamond" w:ascii="Garamond" w:hAnsi="Garamond"/>
          <w:sz w:val="22"/>
          <w:szCs w:val="22"/>
          <w:lang w:val="en-US"/>
        </w:rPr>
        <w:t xml:space="preserve">., 2003 [Rohl D. </w:t>
      </w:r>
      <w:r>
        <w:rPr>
          <w:rFonts w:cs="Garamond" w:ascii="Garamond" w:hAnsi="Garamond"/>
          <w:i/>
          <w:sz w:val="22"/>
          <w:szCs w:val="22"/>
          <w:lang w:val="en-US"/>
        </w:rPr>
        <w:t>The Genesis of Civilization. Where We Came From.</w:t>
      </w:r>
      <w:r>
        <w:rPr>
          <w:rFonts w:cs="Garamond" w:ascii="Garamond" w:hAnsi="Garamond"/>
          <w:sz w:val="22"/>
          <w:szCs w:val="22"/>
          <w:lang w:val="en-US"/>
        </w:rPr>
        <w:t xml:space="preserve"> Moscow, 2003 (in Russian)].</w:t>
      </w:r>
    </w:p>
    <w:p>
      <w:pPr>
        <w:pStyle w:val="Normal"/>
        <w:ind w:start="720" w:end="-31" w:hanging="720"/>
        <w:jc w:val="both"/>
        <w:rPr/>
      </w:pPr>
      <w:r>
        <w:rPr>
          <w:rFonts w:cs="Garamond" w:ascii="Garamond" w:hAnsi="Garamond"/>
          <w:sz w:val="22"/>
          <w:szCs w:val="22"/>
          <w:lang w:val="en-US"/>
        </w:rPr>
        <w:t xml:space="preserve">Baumgartel E. J. </w:t>
      </w:r>
      <w:r>
        <w:rPr>
          <w:rFonts w:cs="Garamond" w:ascii="Garamond" w:hAnsi="Garamond"/>
          <w:i/>
          <w:sz w:val="22"/>
          <w:szCs w:val="22"/>
          <w:lang w:val="en-US"/>
        </w:rPr>
        <w:t xml:space="preserve">The Cultures of Prehistoric Egypt. </w:t>
      </w:r>
      <w:r>
        <w:rPr>
          <w:rFonts w:cs="Garamond" w:ascii="Garamond" w:hAnsi="Garamond"/>
          <w:sz w:val="22"/>
          <w:szCs w:val="22"/>
          <w:lang w:val="en-US"/>
        </w:rPr>
        <w:t>Vol. 1–2. London, 1947–1960.</w:t>
      </w:r>
    </w:p>
    <w:p>
      <w:pPr>
        <w:pStyle w:val="Normal"/>
        <w:ind w:start="720" w:end="-31" w:hanging="720"/>
        <w:jc w:val="both"/>
        <w:rPr/>
      </w:pPr>
      <w:r>
        <w:rPr>
          <w:rFonts w:cs="Garamond" w:ascii="Garamond" w:hAnsi="Garamond"/>
          <w:sz w:val="22"/>
          <w:szCs w:val="22"/>
          <w:lang w:val="en-US"/>
        </w:rPr>
        <w:t xml:space="preserve">Beevor A. </w:t>
      </w:r>
      <w:r>
        <w:rPr>
          <w:rFonts w:cs="Garamond" w:ascii="Garamond" w:hAnsi="Garamond"/>
          <w:i/>
          <w:sz w:val="22"/>
          <w:szCs w:val="22"/>
          <w:lang w:val="en-US"/>
        </w:rPr>
        <w:t>D-DAY. The Battle for Normandy.</w:t>
      </w:r>
      <w:r>
        <w:rPr>
          <w:rFonts w:cs="Garamond" w:ascii="Garamond" w:hAnsi="Garamond"/>
          <w:sz w:val="22"/>
          <w:szCs w:val="22"/>
          <w:lang w:val="en-US"/>
        </w:rPr>
        <w:t xml:space="preserve"> London, 2009.</w:t>
      </w:r>
    </w:p>
    <w:p>
      <w:pPr>
        <w:pStyle w:val="Normal"/>
        <w:ind w:start="720" w:end="-31" w:hanging="720"/>
        <w:jc w:val="both"/>
        <w:rPr/>
      </w:pPr>
      <w:r>
        <w:rPr>
          <w:rFonts w:cs="Garamond" w:ascii="Garamond" w:hAnsi="Garamond"/>
          <w:iCs/>
          <w:sz w:val="22"/>
          <w:szCs w:val="22"/>
          <w:lang w:val="en-US"/>
        </w:rPr>
        <w:t xml:space="preserve">Butzer K. W. </w:t>
      </w:r>
      <w:r>
        <w:rPr>
          <w:rFonts w:cs="Garamond" w:ascii="Garamond" w:hAnsi="Garamond"/>
          <w:i/>
          <w:iCs/>
          <w:sz w:val="22"/>
          <w:szCs w:val="22"/>
          <w:lang w:val="en-US"/>
        </w:rPr>
        <w:t>Studien zum vor- und fr</w:t>
      </w:r>
      <w:r>
        <w:rPr>
          <w:rFonts w:eastAsia="Times New Roman" w:cs="Times New Roman"/>
          <w:i/>
          <w:iCs/>
          <w:sz w:val="22"/>
          <w:szCs w:val="22"/>
        </w:rPr>
        <w:t>ü</w:t>
      </w:r>
      <w:r>
        <w:rPr>
          <w:rFonts w:cs="Garamond" w:ascii="Garamond" w:hAnsi="Garamond"/>
          <w:i/>
          <w:iCs/>
          <w:sz w:val="22"/>
          <w:szCs w:val="22"/>
          <w:lang w:val="en-US"/>
        </w:rPr>
        <w:t xml:space="preserve">hgeschichtlichen Landschaftswandel der Sahara. </w:t>
      </w:r>
      <w:r>
        <w:rPr>
          <w:rFonts w:cs="Garamond" w:ascii="Garamond" w:hAnsi="Garamond"/>
          <w:i/>
          <w:sz w:val="22"/>
          <w:szCs w:val="22"/>
          <w:lang w:val="fr-FR"/>
        </w:rPr>
        <w:t xml:space="preserve">I. Die Ursachen des Landschaftswandels der Sahara und Levante seit dem klassischen Altertum. </w:t>
      </w:r>
      <w:r>
        <w:rPr>
          <w:rFonts w:cs="Garamond" w:ascii="Garamond" w:hAnsi="Garamond"/>
          <w:i/>
          <w:sz w:val="22"/>
          <w:szCs w:val="22"/>
          <w:lang w:val="en-US"/>
        </w:rPr>
        <w:t>II. Das ökologische Problem der neolithischen Felsbilder der östlichen Sahara.</w:t>
      </w:r>
      <w:r>
        <w:rPr>
          <w:rFonts w:cs="Garamond" w:ascii="Garamond" w:hAnsi="Garamond"/>
          <w:sz w:val="22"/>
          <w:szCs w:val="22"/>
          <w:lang w:val="en-US"/>
        </w:rPr>
        <w:t xml:space="preserve"> Wiesbaden, </w:t>
      </w:r>
      <w:r>
        <w:rPr>
          <w:rFonts w:cs="Garamond" w:ascii="Garamond" w:hAnsi="Garamond"/>
          <w:iCs/>
          <w:sz w:val="22"/>
          <w:szCs w:val="22"/>
          <w:lang w:val="en-US"/>
        </w:rPr>
        <w:t>1958.</w:t>
      </w:r>
    </w:p>
    <w:p>
      <w:pPr>
        <w:pStyle w:val="Normal"/>
        <w:ind w:start="720" w:end="-31" w:hanging="720"/>
        <w:jc w:val="both"/>
        <w:rPr>
          <w:rFonts w:ascii="Garamond" w:hAnsi="Garamond" w:cs="Garamond"/>
          <w:iCs/>
          <w:sz w:val="22"/>
          <w:szCs w:val="22"/>
          <w:lang w:val="en-US"/>
        </w:rPr>
      </w:pPr>
      <w:r>
        <w:rPr>
          <w:rFonts w:cs="Garamond" w:ascii="Garamond" w:hAnsi="Garamond"/>
          <w:iCs/>
          <w:sz w:val="22"/>
          <w:szCs w:val="22"/>
          <w:lang w:val="en-US"/>
        </w:rPr>
        <w:t>Butzer K. W.</w:t>
      </w:r>
      <w:r>
        <w:rPr>
          <w:rFonts w:cs="Garamond" w:ascii="Garamond" w:hAnsi="Garamond"/>
          <w:i/>
          <w:iCs/>
          <w:sz w:val="22"/>
          <w:szCs w:val="22"/>
          <w:lang w:val="en-US"/>
        </w:rPr>
        <w:t xml:space="preserve"> </w:t>
      </w:r>
      <w:r>
        <w:rPr>
          <w:rFonts w:cs="Garamond" w:ascii="Garamond" w:hAnsi="Garamond"/>
          <w:sz w:val="22"/>
          <w:szCs w:val="22"/>
          <w:lang w:val="en-US"/>
        </w:rPr>
        <w:t xml:space="preserve">Contributions to the Pleistocene Geology of the Nile Valley. </w:t>
      </w:r>
      <w:r>
        <w:rPr>
          <w:rFonts w:cs="Garamond" w:ascii="Garamond" w:hAnsi="Garamond"/>
          <w:i/>
          <w:sz w:val="22"/>
          <w:szCs w:val="22"/>
          <w:lang w:val="en-US"/>
        </w:rPr>
        <w:t>Erdkunde.</w:t>
      </w:r>
      <w:r>
        <w:rPr>
          <w:rFonts w:cs="Garamond" w:ascii="Garamond" w:hAnsi="Garamond"/>
          <w:sz w:val="22"/>
          <w:szCs w:val="22"/>
          <w:lang w:val="en-US"/>
        </w:rPr>
        <w:t xml:space="preserve"> 1959. 13. Pp. 46–67.</w:t>
      </w:r>
    </w:p>
    <w:p>
      <w:pPr>
        <w:pStyle w:val="Normal"/>
        <w:ind w:start="720" w:end="-31" w:hanging="720"/>
        <w:jc w:val="both"/>
        <w:rPr/>
      </w:pPr>
      <w:r>
        <w:rPr>
          <w:rFonts w:cs="Garamond" w:ascii="Garamond" w:hAnsi="Garamond"/>
          <w:sz w:val="22"/>
          <w:szCs w:val="22"/>
          <w:lang w:val="en-US"/>
        </w:rPr>
        <w:t xml:space="preserve">Butzer K. W. </w:t>
      </w:r>
      <w:r>
        <w:rPr>
          <w:rFonts w:cs="Garamond" w:ascii="Garamond" w:hAnsi="Garamond"/>
          <w:i/>
          <w:sz w:val="22"/>
          <w:szCs w:val="22"/>
          <w:lang w:val="en-US"/>
        </w:rPr>
        <w:t xml:space="preserve">Studien zum vorund frühgeschichtlichen Landschaftswandel der Sahara. III. Die Naturlandschaft </w:t>
      </w:r>
      <w:r>
        <w:rPr>
          <w:rFonts w:cs="Garamond" w:ascii="Garamond" w:hAnsi="Garamond"/>
          <w:i/>
          <w:sz w:val="22"/>
          <w:szCs w:val="22"/>
        </w:rPr>
        <w:t>Ä</w:t>
      </w:r>
      <w:r>
        <w:rPr>
          <w:rFonts w:cs="Garamond" w:ascii="Garamond" w:hAnsi="Garamond"/>
          <w:i/>
          <w:sz w:val="22"/>
          <w:szCs w:val="22"/>
          <w:lang w:val="en-US"/>
        </w:rPr>
        <w:t>gyptens während der Vorgeschichte und der Dynastischen Zeit.</w:t>
      </w:r>
      <w:r>
        <w:rPr>
          <w:rFonts w:cs="Garamond" w:ascii="Garamond" w:hAnsi="Garamond"/>
          <w:sz w:val="22"/>
          <w:szCs w:val="22"/>
          <w:lang w:val="en-US"/>
        </w:rPr>
        <w:t xml:space="preserve"> Wiesbaden, 1959.</w:t>
      </w:r>
    </w:p>
    <w:p>
      <w:pPr>
        <w:pStyle w:val="Normal"/>
        <w:ind w:start="720" w:end="-31" w:hanging="720"/>
        <w:jc w:val="both"/>
        <w:rPr/>
      </w:pPr>
      <w:r>
        <w:rPr>
          <w:rFonts w:cs="Garamond" w:ascii="Garamond" w:hAnsi="Garamond"/>
          <w:sz w:val="22"/>
          <w:szCs w:val="22"/>
          <w:lang w:val="en-US"/>
        </w:rPr>
        <w:t xml:space="preserve">Butzer K. W. Late Quaternary Problems of the Egyptian Nile: Stratigraphy, Environments, Prehistory. </w:t>
      </w:r>
      <w:r>
        <w:rPr>
          <w:rFonts w:cs="Garamond" w:ascii="Garamond" w:hAnsi="Garamond"/>
          <w:i/>
          <w:sz w:val="22"/>
          <w:szCs w:val="22"/>
          <w:lang w:val="en-US"/>
        </w:rPr>
        <w:t>Paléorient.</w:t>
      </w:r>
      <w:r>
        <w:rPr>
          <w:rFonts w:cs="Garamond" w:ascii="Garamond" w:hAnsi="Garamond"/>
          <w:sz w:val="22"/>
          <w:szCs w:val="22"/>
          <w:lang w:val="en-US"/>
        </w:rPr>
        <w:t xml:space="preserve"> 1998. 23. Pp. 151–173.</w:t>
      </w:r>
    </w:p>
    <w:p>
      <w:pPr>
        <w:pStyle w:val="Normal"/>
        <w:ind w:start="720" w:end="-31" w:hanging="720"/>
        <w:jc w:val="both"/>
        <w:rPr/>
      </w:pPr>
      <w:r>
        <w:rPr>
          <w:rFonts w:cs="Garamond" w:ascii="Garamond" w:hAnsi="Garamond"/>
          <w:sz w:val="22"/>
          <w:szCs w:val="22"/>
          <w:lang w:val="en-US"/>
        </w:rPr>
        <w:t xml:space="preserve">Capart J. </w:t>
      </w:r>
      <w:r>
        <w:rPr>
          <w:rFonts w:cs="Garamond" w:ascii="Garamond" w:hAnsi="Garamond"/>
          <w:i/>
          <w:sz w:val="22"/>
          <w:szCs w:val="22"/>
          <w:lang w:val="en-US"/>
        </w:rPr>
        <w:t>Primitive Art in Egypt.</w:t>
      </w:r>
      <w:r>
        <w:rPr>
          <w:rFonts w:cs="Garamond" w:ascii="Garamond" w:hAnsi="Garamond"/>
          <w:sz w:val="22"/>
          <w:szCs w:val="22"/>
          <w:lang w:val="en-US"/>
        </w:rPr>
        <w:t xml:space="preserve"> London, 1905.</w:t>
      </w:r>
    </w:p>
    <w:p>
      <w:pPr>
        <w:pStyle w:val="Normal"/>
        <w:ind w:start="720" w:end="-31" w:hanging="720"/>
        <w:jc w:val="both"/>
        <w:rPr/>
      </w:pPr>
      <w:r>
        <w:rPr>
          <w:rFonts w:cs="Garamond" w:ascii="Garamond" w:hAnsi="Garamond"/>
          <w:sz w:val="22"/>
          <w:szCs w:val="22"/>
          <w:lang w:val="en-US"/>
        </w:rPr>
        <w:t xml:space="preserve">Červiček P. </w:t>
      </w:r>
      <w:r>
        <w:rPr>
          <w:rFonts w:cs="Garamond" w:ascii="Garamond" w:hAnsi="Garamond"/>
          <w:i/>
          <w:sz w:val="22"/>
          <w:szCs w:val="22"/>
          <w:lang w:val="en-US"/>
        </w:rPr>
        <w:t>Felsbilder des Nord-Etbai, Oberägyptens und Unternubiens.</w:t>
      </w:r>
      <w:r>
        <w:rPr>
          <w:rFonts w:cs="Garamond" w:ascii="Garamond" w:hAnsi="Garamond"/>
          <w:sz w:val="22"/>
          <w:szCs w:val="22"/>
          <w:lang w:val="en-US"/>
        </w:rPr>
        <w:t xml:space="preserve"> Wiesbaden, 1974.</w:t>
      </w:r>
    </w:p>
    <w:p>
      <w:pPr>
        <w:pStyle w:val="Normal"/>
        <w:ind w:start="720" w:end="-31" w:hanging="720"/>
        <w:jc w:val="both"/>
        <w:rPr/>
      </w:pPr>
      <w:r>
        <w:rPr>
          <w:rFonts w:cs="Garamond" w:ascii="Garamond" w:hAnsi="Garamond"/>
          <w:sz w:val="22"/>
          <w:szCs w:val="22"/>
          <w:lang w:val="en-US"/>
        </w:rPr>
        <w:t>Červiček P.</w:t>
      </w:r>
      <w:r>
        <w:rPr>
          <w:rFonts w:cs="Garamond" w:ascii="Garamond" w:hAnsi="Garamond"/>
          <w:i/>
          <w:sz w:val="22"/>
          <w:szCs w:val="22"/>
          <w:lang w:val="en-US"/>
        </w:rPr>
        <w:t xml:space="preserve"> Rock Pictures of Upper Egypt and Nubia</w:t>
      </w:r>
      <w:r>
        <w:rPr>
          <w:rFonts w:cs="Garamond" w:ascii="Garamond" w:hAnsi="Garamond"/>
          <w:sz w:val="22"/>
          <w:szCs w:val="22"/>
          <w:lang w:val="en-US"/>
        </w:rPr>
        <w:t>. Napoli, 1986.</w:t>
      </w:r>
    </w:p>
    <w:p>
      <w:pPr>
        <w:pStyle w:val="Normal"/>
        <w:ind w:start="720" w:end="-31" w:hanging="720"/>
        <w:jc w:val="both"/>
        <w:rPr/>
      </w:pPr>
      <w:r>
        <w:rPr>
          <w:rFonts w:cs="Garamond" w:ascii="Garamond" w:hAnsi="Garamond"/>
          <w:sz w:val="22"/>
          <w:szCs w:val="22"/>
          <w:lang w:val="en-US"/>
        </w:rPr>
        <w:t xml:space="preserve">Červiček P. Chorology and Chronology of Upper Egyptian and Nubian Rock Art up to 1400 B. C. </w:t>
      </w:r>
      <w:r>
        <w:rPr>
          <w:rFonts w:cs="Garamond" w:ascii="Garamond" w:hAnsi="Garamond"/>
          <w:i/>
          <w:sz w:val="22"/>
          <w:szCs w:val="22"/>
          <w:lang w:val="en-US"/>
        </w:rPr>
        <w:t>Sahara</w:t>
      </w:r>
      <w:r>
        <w:rPr>
          <w:rFonts w:cs="Garamond" w:ascii="Garamond" w:hAnsi="Garamond"/>
          <w:sz w:val="22"/>
          <w:szCs w:val="22"/>
          <w:lang w:val="en-US"/>
        </w:rPr>
        <w:t>. 1992–1993. 5. Pp. 41–48.</w:t>
      </w:r>
    </w:p>
    <w:p>
      <w:pPr>
        <w:pStyle w:val="Normal"/>
        <w:ind w:start="720" w:end="-31" w:hanging="720"/>
        <w:jc w:val="both"/>
        <w:rPr/>
      </w:pPr>
      <w:r>
        <w:rPr>
          <w:rFonts w:cs="Garamond" w:ascii="Garamond" w:hAnsi="Garamond"/>
          <w:sz w:val="22"/>
          <w:szCs w:val="22"/>
          <w:lang w:val="en-US"/>
        </w:rPr>
        <w:t xml:space="preserve">Červiček P. Felsbilder und Pyramidentexte. Jockenhövel A. (Hrsg.). </w:t>
      </w:r>
      <w:r>
        <w:rPr>
          <w:rFonts w:cs="Garamond" w:ascii="Garamond" w:hAnsi="Garamond"/>
          <w:i/>
          <w:sz w:val="22"/>
          <w:szCs w:val="22"/>
          <w:lang w:val="en-US"/>
        </w:rPr>
        <w:t xml:space="preserve">Festschrift für Hermann Müller-Karpe zum 70. </w:t>
      </w:r>
      <w:r>
        <w:rPr>
          <w:rFonts w:cs="Garamond" w:ascii="Garamond" w:hAnsi="Garamond"/>
          <w:i/>
          <w:sz w:val="22"/>
          <w:szCs w:val="22"/>
          <w:lang w:val="fr-FR"/>
        </w:rPr>
        <w:t>Geburtstag</w:t>
      </w:r>
      <w:r>
        <w:rPr>
          <w:rFonts w:cs="Garamond" w:ascii="Garamond" w:hAnsi="Garamond"/>
          <w:sz w:val="22"/>
          <w:szCs w:val="22"/>
          <w:lang w:val="fr-FR"/>
        </w:rPr>
        <w:t>. Bonn, 1995. S. 1–10.</w:t>
      </w:r>
    </w:p>
    <w:p>
      <w:pPr>
        <w:pStyle w:val="Normal"/>
        <w:ind w:start="720" w:end="-31" w:hanging="720"/>
        <w:jc w:val="both"/>
        <w:rPr/>
      </w:pPr>
      <w:r>
        <w:rPr>
          <w:rFonts w:cs="Garamond" w:ascii="Garamond" w:hAnsi="Garamond"/>
          <w:sz w:val="22"/>
          <w:szCs w:val="22"/>
          <w:lang w:val="fr-FR"/>
        </w:rPr>
        <w:t xml:space="preserve">Chassinat É. G. </w:t>
      </w:r>
      <w:r>
        <w:rPr>
          <w:rFonts w:cs="Garamond" w:ascii="Garamond" w:hAnsi="Garamond"/>
          <w:i/>
          <w:sz w:val="22"/>
          <w:szCs w:val="22"/>
          <w:lang w:val="fr-FR"/>
        </w:rPr>
        <w:t xml:space="preserve">Le temple d’Edfou. </w:t>
      </w:r>
      <w:r>
        <w:rPr>
          <w:rFonts w:cs="Garamond" w:ascii="Garamond" w:hAnsi="Garamond"/>
          <w:sz w:val="22"/>
          <w:szCs w:val="22"/>
          <w:lang w:val="fr-FR"/>
        </w:rPr>
        <w:t xml:space="preserve">T. 13. </w:t>
      </w:r>
      <w:r>
        <w:rPr>
          <w:rFonts w:cs="Garamond" w:ascii="Garamond" w:hAnsi="Garamond"/>
          <w:sz w:val="22"/>
          <w:szCs w:val="22"/>
          <w:lang w:val="en-US"/>
        </w:rPr>
        <w:t>Le Caire, 1934.</w:t>
      </w:r>
    </w:p>
    <w:p>
      <w:pPr>
        <w:pStyle w:val="Normal"/>
        <w:ind w:start="720" w:end="-31" w:hanging="720"/>
        <w:jc w:val="both"/>
        <w:rPr/>
      </w:pPr>
      <w:r>
        <w:rPr>
          <w:rFonts w:cs="Garamond" w:ascii="Garamond" w:hAnsi="Garamond"/>
          <w:sz w:val="22"/>
          <w:szCs w:val="22"/>
          <w:lang w:val="en-US"/>
        </w:rPr>
        <w:t xml:space="preserve">Clottes J. </w:t>
      </w:r>
      <w:r>
        <w:rPr>
          <w:rFonts w:cs="Garamond" w:ascii="Garamond" w:hAnsi="Garamond"/>
          <w:i/>
          <w:sz w:val="22"/>
          <w:szCs w:val="22"/>
          <w:lang w:val="en-US"/>
        </w:rPr>
        <w:t>World Rock Art.</w:t>
      </w:r>
      <w:r>
        <w:rPr>
          <w:rFonts w:cs="Garamond" w:ascii="Garamond" w:hAnsi="Garamond"/>
          <w:sz w:val="22"/>
          <w:szCs w:val="22"/>
          <w:lang w:val="en-US"/>
        </w:rPr>
        <w:t xml:space="preserve"> Los Angeles, 2002.</w:t>
      </w:r>
    </w:p>
    <w:p>
      <w:pPr>
        <w:pStyle w:val="Normal"/>
        <w:ind w:start="720" w:end="-31" w:hanging="720"/>
        <w:jc w:val="both"/>
        <w:rPr/>
      </w:pPr>
      <w:r>
        <w:rPr>
          <w:rFonts w:cs="Garamond" w:ascii="Garamond" w:hAnsi="Garamond"/>
          <w:sz w:val="22"/>
          <w:szCs w:val="22"/>
          <w:lang w:val="en-US"/>
        </w:rPr>
        <w:t xml:space="preserve">Coulson D., Campbell A. C. </w:t>
      </w:r>
      <w:r>
        <w:rPr>
          <w:rFonts w:cs="Garamond" w:ascii="Garamond" w:hAnsi="Garamond"/>
          <w:i/>
          <w:sz w:val="22"/>
          <w:szCs w:val="22"/>
          <w:lang w:val="en-US"/>
        </w:rPr>
        <w:t>African Rock Art: Paintings and Engravings on Stone.</w:t>
      </w:r>
      <w:r>
        <w:rPr>
          <w:rFonts w:cs="Garamond" w:ascii="Garamond" w:hAnsi="Garamond"/>
          <w:sz w:val="22"/>
          <w:szCs w:val="22"/>
          <w:lang w:val="en-US"/>
        </w:rPr>
        <w:t xml:space="preserve"> </w:t>
      </w:r>
      <w:r>
        <w:rPr>
          <w:rFonts w:cs="Garamond" w:ascii="Garamond" w:hAnsi="Garamond"/>
          <w:sz w:val="22"/>
          <w:szCs w:val="22"/>
          <w:lang w:val="fr-FR"/>
        </w:rPr>
        <w:t>New York, 2001.</w:t>
      </w:r>
    </w:p>
    <w:p>
      <w:pPr>
        <w:pStyle w:val="Normal"/>
        <w:ind w:start="720" w:end="-31" w:hanging="720"/>
        <w:jc w:val="both"/>
        <w:rPr/>
      </w:pPr>
      <w:r>
        <w:rPr>
          <w:rFonts w:cs="Garamond" w:ascii="Garamond" w:hAnsi="Garamond"/>
          <w:sz w:val="22"/>
          <w:szCs w:val="22"/>
          <w:lang w:val="fr-FR"/>
        </w:rPr>
        <w:t xml:space="preserve">Couyat J., Montet P. </w:t>
      </w:r>
      <w:r>
        <w:rPr>
          <w:rFonts w:cs="Garamond" w:ascii="Garamond" w:hAnsi="Garamond"/>
          <w:i/>
          <w:sz w:val="22"/>
          <w:szCs w:val="22"/>
          <w:lang w:val="fr-FR"/>
        </w:rPr>
        <w:t>Les inscriptions hiéroglyphiques et hiératiques du Ouâdi Hammâmât.</w:t>
      </w:r>
      <w:r>
        <w:rPr>
          <w:rFonts w:cs="Garamond" w:ascii="Garamond" w:hAnsi="Garamond"/>
          <w:sz w:val="22"/>
          <w:szCs w:val="22"/>
          <w:lang w:val="fr-FR"/>
        </w:rPr>
        <w:t xml:space="preserve"> </w:t>
      </w:r>
      <w:r>
        <w:rPr>
          <w:rFonts w:cs="Garamond" w:ascii="Garamond" w:hAnsi="Garamond"/>
          <w:sz w:val="22"/>
          <w:szCs w:val="22"/>
          <w:lang w:val="en-US"/>
        </w:rPr>
        <w:t>Le Caire, 1912.</w:t>
      </w:r>
    </w:p>
    <w:p>
      <w:pPr>
        <w:pStyle w:val="Normal"/>
        <w:ind w:start="720" w:end="-31" w:hanging="720"/>
        <w:jc w:val="both"/>
        <w:rPr/>
      </w:pPr>
      <w:r>
        <w:rPr>
          <w:rFonts w:cs="Garamond" w:ascii="Garamond" w:hAnsi="Garamond"/>
          <w:sz w:val="22"/>
          <w:szCs w:val="22"/>
          <w:lang w:val="en-US"/>
        </w:rPr>
        <w:t xml:space="preserve">Darnell J. C. The Wadi of the Horus Qa-a: A Tableau of Royal Ritual Power in the Theban Western Desert. Friedman R. F., Fiske P. N. (eds.). </w:t>
      </w:r>
      <w:r>
        <w:rPr>
          <w:rFonts w:cs="Garamond" w:ascii="Garamond" w:hAnsi="Garamond"/>
          <w:i/>
          <w:sz w:val="22"/>
          <w:szCs w:val="22"/>
          <w:lang w:val="en-US"/>
        </w:rPr>
        <w:t>Egypt at Its Origins 3. Proceedings of the International Conference “Origin of the State. Predynastic and Early Dynastic Egypt”, London, 27</w:t>
      </w:r>
      <w:r>
        <w:rPr>
          <w:rFonts w:cs="Garamond" w:ascii="Garamond" w:hAnsi="Garamond"/>
          <w:i/>
          <w:sz w:val="22"/>
          <w:szCs w:val="22"/>
          <w:vertAlign w:val="superscript"/>
          <w:lang w:val="en-US"/>
        </w:rPr>
        <w:t>th</w:t>
      </w:r>
      <w:r>
        <w:rPr>
          <w:rFonts w:cs="Garamond" w:ascii="Garamond" w:hAnsi="Garamond"/>
          <w:i/>
          <w:sz w:val="22"/>
          <w:szCs w:val="22"/>
          <w:lang w:val="en-US"/>
        </w:rPr>
        <w:t xml:space="preserve"> July — 1</w:t>
      </w:r>
      <w:r>
        <w:rPr>
          <w:rFonts w:cs="Garamond" w:ascii="Garamond" w:hAnsi="Garamond"/>
          <w:i/>
          <w:sz w:val="22"/>
          <w:szCs w:val="22"/>
          <w:vertAlign w:val="superscript"/>
          <w:lang w:val="en-US"/>
        </w:rPr>
        <w:t>st</w:t>
      </w:r>
      <w:r>
        <w:rPr>
          <w:rFonts w:cs="Garamond" w:ascii="Garamond" w:hAnsi="Garamond"/>
          <w:i/>
          <w:sz w:val="22"/>
          <w:szCs w:val="22"/>
          <w:lang w:val="en-US"/>
        </w:rPr>
        <w:t xml:space="preserve"> August 2008.</w:t>
      </w:r>
      <w:r>
        <w:rPr>
          <w:rFonts w:cs="Garamond" w:ascii="Garamond" w:hAnsi="Garamond"/>
          <w:sz w:val="22"/>
          <w:szCs w:val="22"/>
          <w:lang w:val="en-US"/>
        </w:rPr>
        <w:t xml:space="preserve"> Leuven, 2011. Pp. 1151–1193.</w:t>
      </w:r>
    </w:p>
    <w:p>
      <w:pPr>
        <w:pStyle w:val="Normal"/>
        <w:ind w:start="720" w:end="-31" w:hanging="720"/>
        <w:jc w:val="both"/>
        <w:rPr/>
      </w:pPr>
      <w:r>
        <w:rPr>
          <w:rFonts w:cs="Garamond" w:ascii="Garamond" w:hAnsi="Garamond"/>
          <w:sz w:val="22"/>
          <w:szCs w:val="22"/>
          <w:lang w:val="en-US"/>
        </w:rPr>
        <w:t xml:space="preserve">Darnell J. C. The Early Hieroglyphic Annotation in the Nag el-Hamdulab Rock Art Tableaux, and the Following of Horus in the Northwest Hinterland of Aswan. </w:t>
      </w:r>
      <w:r>
        <w:rPr>
          <w:rFonts w:cs="Garamond" w:ascii="Garamond" w:hAnsi="Garamond"/>
          <w:i/>
          <w:iCs/>
          <w:sz w:val="22"/>
          <w:szCs w:val="22"/>
          <w:lang w:val="en-US"/>
        </w:rPr>
        <w:t>Archéo-Nil</w:t>
      </w:r>
      <w:r>
        <w:rPr>
          <w:rFonts w:cs="Garamond" w:ascii="Garamond" w:hAnsi="Garamond"/>
          <w:sz w:val="22"/>
          <w:szCs w:val="22"/>
          <w:lang w:val="en-US"/>
        </w:rPr>
        <w:t>. 2015. 25. Pp. 19–43.</w:t>
      </w:r>
    </w:p>
    <w:p>
      <w:pPr>
        <w:pStyle w:val="Normal"/>
        <w:ind w:start="720" w:end="-31" w:hanging="720"/>
        <w:jc w:val="both"/>
        <w:rPr/>
      </w:pPr>
      <w:r>
        <w:rPr>
          <w:rFonts w:cs="Garamond" w:ascii="Garamond" w:hAnsi="Garamond"/>
          <w:sz w:val="22"/>
          <w:szCs w:val="22"/>
          <w:lang w:val="en-US"/>
        </w:rPr>
        <w:t xml:space="preserve">Darnell J. C., Hendrickx S., Gatto M. C. Once More the Nag el-Hamdulab Early Hieroglyphic Annotation. </w:t>
      </w:r>
      <w:r>
        <w:rPr>
          <w:rFonts w:cs="Garamond" w:ascii="Garamond" w:hAnsi="Garamond"/>
          <w:i/>
          <w:iCs/>
          <w:sz w:val="22"/>
          <w:szCs w:val="22"/>
          <w:lang w:val="en-US"/>
        </w:rPr>
        <w:t>Arch</w:t>
      </w:r>
      <w:r>
        <w:rPr>
          <w:rFonts w:eastAsia="Times New Roman" w:cs="Times New Roman"/>
          <w:i/>
          <w:iCs/>
          <w:sz w:val="22"/>
          <w:szCs w:val="22"/>
        </w:rPr>
        <w:t>é</w:t>
      </w:r>
      <w:r>
        <w:rPr>
          <w:rFonts w:cs="Garamond" w:ascii="Garamond" w:hAnsi="Garamond"/>
          <w:i/>
          <w:iCs/>
          <w:sz w:val="22"/>
          <w:szCs w:val="22"/>
          <w:lang w:val="en-US"/>
        </w:rPr>
        <w:t>o-Nil</w:t>
      </w:r>
      <w:r>
        <w:rPr>
          <w:rFonts w:cs="Garamond" w:ascii="Garamond" w:hAnsi="Garamond"/>
          <w:i/>
          <w:sz w:val="22"/>
          <w:szCs w:val="22"/>
          <w:lang w:val="en-US"/>
        </w:rPr>
        <w:t xml:space="preserve">. </w:t>
      </w:r>
      <w:r>
        <w:rPr>
          <w:rFonts w:cs="Garamond" w:ascii="Garamond" w:hAnsi="Garamond"/>
          <w:sz w:val="22"/>
          <w:szCs w:val="22"/>
          <w:lang w:val="en-US"/>
        </w:rPr>
        <w:t>2017. 27. Pp. 65–74.</w:t>
      </w:r>
    </w:p>
    <w:p>
      <w:pPr>
        <w:pStyle w:val="Normal"/>
        <w:ind w:start="720" w:end="-31" w:hanging="720"/>
        <w:jc w:val="both"/>
        <w:rPr/>
      </w:pPr>
      <w:r>
        <w:rPr>
          <w:rFonts w:cs="Garamond" w:ascii="Garamond" w:hAnsi="Garamond"/>
          <w:sz w:val="22"/>
          <w:szCs w:val="22"/>
          <w:lang w:val="en-US"/>
        </w:rPr>
        <w:t xml:space="preserve">Derry D. E. The Dynastic Race in Egypt. </w:t>
      </w:r>
      <w:r>
        <w:rPr>
          <w:rFonts w:cs="Garamond" w:ascii="Garamond" w:hAnsi="Garamond"/>
          <w:i/>
          <w:iCs/>
          <w:sz w:val="22"/>
          <w:szCs w:val="22"/>
          <w:lang w:val="en-US"/>
        </w:rPr>
        <w:t>Journal of Egyptian Archaeology</w:t>
      </w:r>
      <w:r>
        <w:rPr>
          <w:rFonts w:cs="Garamond" w:ascii="Garamond" w:hAnsi="Garamond"/>
          <w:sz w:val="22"/>
          <w:szCs w:val="22"/>
          <w:lang w:val="en-US"/>
        </w:rPr>
        <w:t>. 1956. 42. Pp. 80–85.</w:t>
      </w:r>
    </w:p>
    <w:p>
      <w:pPr>
        <w:pStyle w:val="Normal"/>
        <w:ind w:start="720" w:end="-31" w:hanging="720"/>
        <w:jc w:val="both"/>
        <w:rPr/>
      </w:pPr>
      <w:r>
        <w:rPr>
          <w:rFonts w:cs="Garamond" w:ascii="Garamond" w:hAnsi="Garamond"/>
          <w:sz w:val="22"/>
          <w:szCs w:val="22"/>
          <w:lang w:val="en-US"/>
        </w:rPr>
        <w:t xml:space="preserve">El Shamy I. Z. Recent Recharge and Flash Flooding Opportunities in the Eastern Desert, Egypt. </w:t>
      </w:r>
      <w:r>
        <w:rPr>
          <w:rFonts w:cs="Garamond" w:ascii="Garamond" w:hAnsi="Garamond"/>
          <w:i/>
          <w:sz w:val="22"/>
          <w:szCs w:val="22"/>
          <w:lang w:val="en-US"/>
        </w:rPr>
        <w:t>Annals of Geological Survey of Egypt.</w:t>
      </w:r>
      <w:r>
        <w:rPr>
          <w:rFonts w:cs="Garamond" w:ascii="Garamond" w:hAnsi="Garamond"/>
          <w:sz w:val="22"/>
          <w:szCs w:val="22"/>
          <w:lang w:val="en-US"/>
        </w:rPr>
        <w:t xml:space="preserve"> 1992. 18. Pp. 323–334.</w:t>
      </w:r>
    </w:p>
    <w:p>
      <w:pPr>
        <w:pStyle w:val="Normal"/>
        <w:ind w:start="720" w:end="-31" w:hanging="720"/>
        <w:jc w:val="both"/>
        <w:rPr/>
      </w:pPr>
      <w:r>
        <w:rPr>
          <w:rFonts w:cs="Garamond" w:ascii="Garamond" w:hAnsi="Garamond"/>
          <w:sz w:val="22"/>
          <w:szCs w:val="22"/>
          <w:lang w:val="en-US"/>
        </w:rPr>
        <w:t xml:space="preserve">Emery W. B. </w:t>
      </w:r>
      <w:r>
        <w:rPr>
          <w:rFonts w:cs="Garamond" w:ascii="Garamond" w:hAnsi="Garamond"/>
          <w:i/>
          <w:sz w:val="22"/>
          <w:szCs w:val="22"/>
          <w:lang w:val="en-US"/>
        </w:rPr>
        <w:t>Great Tombs of the First Dynasty.</w:t>
      </w:r>
      <w:r>
        <w:rPr>
          <w:rFonts w:cs="Garamond" w:ascii="Garamond" w:hAnsi="Garamond"/>
          <w:sz w:val="22"/>
          <w:szCs w:val="22"/>
          <w:lang w:val="en-US"/>
        </w:rPr>
        <w:t xml:space="preserve"> Vol. 1–3. Cairo, London, 1949–1958.</w:t>
      </w:r>
    </w:p>
    <w:p>
      <w:pPr>
        <w:pStyle w:val="Normal"/>
        <w:ind w:start="720" w:end="-31" w:hanging="720"/>
        <w:jc w:val="both"/>
        <w:rPr/>
      </w:pPr>
      <w:r>
        <w:rPr>
          <w:rFonts w:cs="Garamond" w:ascii="Garamond" w:hAnsi="Garamond"/>
          <w:sz w:val="22"/>
          <w:szCs w:val="22"/>
          <w:lang w:val="en-US"/>
        </w:rPr>
        <w:t xml:space="preserve">Emery W. B. </w:t>
      </w:r>
      <w:r>
        <w:rPr>
          <w:rFonts w:cs="Garamond" w:ascii="Garamond" w:hAnsi="Garamond"/>
          <w:i/>
          <w:sz w:val="22"/>
          <w:szCs w:val="22"/>
          <w:lang w:val="en-US"/>
        </w:rPr>
        <w:t>Archaic Egypt.</w:t>
      </w:r>
      <w:r>
        <w:rPr>
          <w:rFonts w:cs="Garamond" w:ascii="Garamond" w:hAnsi="Garamond"/>
          <w:sz w:val="22"/>
          <w:szCs w:val="22"/>
          <w:lang w:val="en-US"/>
        </w:rPr>
        <w:t xml:space="preserve"> Harmondsworth, 1961.</w:t>
      </w:r>
    </w:p>
    <w:p>
      <w:pPr>
        <w:pStyle w:val="Normal"/>
        <w:ind w:start="720" w:end="-31" w:hanging="720"/>
        <w:jc w:val="both"/>
        <w:rPr/>
      </w:pPr>
      <w:r>
        <w:rPr>
          <w:rFonts w:cs="Garamond" w:ascii="Garamond" w:hAnsi="Garamond"/>
          <w:sz w:val="22"/>
          <w:szCs w:val="22"/>
          <w:lang w:val="en-US"/>
        </w:rPr>
        <w:t>Fairbridge R. W. New Radiocarbon Dates of Nile Sediments.</w:t>
      </w:r>
      <w:r>
        <w:rPr>
          <w:rFonts w:cs="Garamond" w:ascii="Garamond" w:hAnsi="Garamond"/>
          <w:i/>
          <w:sz w:val="22"/>
          <w:szCs w:val="22"/>
          <w:lang w:val="en-US"/>
        </w:rPr>
        <w:t xml:space="preserve"> Nature.</w:t>
      </w:r>
      <w:r>
        <w:rPr>
          <w:rFonts w:cs="Garamond" w:ascii="Garamond" w:hAnsi="Garamond"/>
          <w:sz w:val="22"/>
          <w:szCs w:val="22"/>
          <w:lang w:val="en-US"/>
        </w:rPr>
        <w:t xml:space="preserve"> 1962. 196. Pp. 108–110.</w:t>
      </w:r>
    </w:p>
    <w:p>
      <w:pPr>
        <w:pStyle w:val="Normal"/>
        <w:ind w:start="720" w:end="-31" w:hanging="720"/>
        <w:jc w:val="both"/>
        <w:rPr/>
      </w:pPr>
      <w:r>
        <w:rPr>
          <w:rFonts w:cs="Garamond" w:ascii="Garamond" w:hAnsi="Garamond"/>
          <w:sz w:val="22"/>
          <w:szCs w:val="22"/>
          <w:lang w:val="en-US"/>
        </w:rPr>
        <w:t xml:space="preserve">Fairbridge R. W. Effects of Holocene Climatic Changes on Some Tropical Geomorphic Process. </w:t>
      </w:r>
      <w:r>
        <w:rPr>
          <w:rFonts w:cs="Garamond" w:ascii="Garamond" w:hAnsi="Garamond"/>
          <w:i/>
          <w:sz w:val="22"/>
          <w:szCs w:val="22"/>
          <w:lang w:val="en-US"/>
        </w:rPr>
        <w:t>Quarternary Research.</w:t>
      </w:r>
      <w:r>
        <w:rPr>
          <w:rFonts w:cs="Garamond" w:ascii="Garamond" w:hAnsi="Garamond"/>
          <w:sz w:val="22"/>
          <w:szCs w:val="22"/>
          <w:lang w:val="en-US"/>
        </w:rPr>
        <w:t xml:space="preserve"> 1976. 6. Pp. 529–556.</w:t>
      </w:r>
    </w:p>
    <w:p>
      <w:pPr>
        <w:pStyle w:val="Normal"/>
        <w:ind w:start="720" w:end="-31" w:hanging="720"/>
        <w:jc w:val="both"/>
        <w:rPr/>
      </w:pPr>
      <w:r>
        <w:rPr>
          <w:rFonts w:cs="Garamond" w:ascii="Garamond" w:hAnsi="Garamond"/>
          <w:sz w:val="22"/>
          <w:szCs w:val="22"/>
          <w:lang w:val="en-US"/>
        </w:rPr>
        <w:t xml:space="preserve">Flood J. </w:t>
      </w:r>
      <w:r>
        <w:rPr>
          <w:rFonts w:cs="Garamond" w:ascii="Garamond" w:hAnsi="Garamond"/>
          <w:i/>
          <w:sz w:val="22"/>
          <w:szCs w:val="22"/>
          <w:lang w:val="en-US"/>
        </w:rPr>
        <w:t>Rock Art of the Dreamtime: Images of Ancient Australia</w:t>
      </w:r>
      <w:r>
        <w:rPr>
          <w:rFonts w:cs="Garamond" w:ascii="Garamond" w:hAnsi="Garamond"/>
          <w:sz w:val="22"/>
          <w:szCs w:val="22"/>
          <w:lang w:val="en-US"/>
        </w:rPr>
        <w:t>. Sydney, 1997.</w:t>
      </w:r>
    </w:p>
    <w:p>
      <w:pPr>
        <w:pStyle w:val="Normal"/>
        <w:ind w:start="720" w:end="-31" w:hanging="720"/>
        <w:jc w:val="both"/>
        <w:rPr/>
      </w:pPr>
      <w:r>
        <w:rPr>
          <w:rFonts w:cs="Garamond" w:ascii="Garamond" w:hAnsi="Garamond"/>
          <w:sz w:val="22"/>
          <w:szCs w:val="22"/>
          <w:lang w:val="en-US"/>
        </w:rPr>
        <w:t>Fuchs G. Rock Engravings in the Wadi el-Barramiya, Eastern Desert of Egypt.</w:t>
      </w:r>
      <w:r>
        <w:rPr>
          <w:rFonts w:cs="Garamond" w:ascii="Garamond" w:hAnsi="Garamond"/>
          <w:i/>
          <w:sz w:val="22"/>
          <w:szCs w:val="22"/>
          <w:lang w:val="en-US"/>
        </w:rPr>
        <w:t xml:space="preserve"> </w:t>
      </w:r>
      <w:r>
        <w:rPr>
          <w:rFonts w:cs="Garamond" w:ascii="Garamond" w:hAnsi="Garamond"/>
          <w:i/>
          <w:iCs/>
          <w:sz w:val="22"/>
          <w:szCs w:val="22"/>
          <w:lang w:val="fr-FR"/>
        </w:rPr>
        <w:t>The African Archaeological Review</w:t>
      </w:r>
      <w:r>
        <w:rPr>
          <w:rFonts w:cs="Garamond" w:ascii="Garamond" w:hAnsi="Garamond"/>
          <w:i/>
          <w:sz w:val="22"/>
          <w:szCs w:val="22"/>
          <w:lang w:val="fr-FR"/>
        </w:rPr>
        <w:t>.</w:t>
      </w:r>
      <w:r>
        <w:rPr>
          <w:rFonts w:cs="Garamond" w:ascii="Garamond" w:hAnsi="Garamond"/>
          <w:sz w:val="22"/>
          <w:szCs w:val="22"/>
          <w:lang w:val="fr-FR"/>
        </w:rPr>
        <w:t xml:space="preserve"> 1989. 7. Pp. 127–153.</w:t>
      </w:r>
    </w:p>
    <w:p>
      <w:pPr>
        <w:pStyle w:val="Normal"/>
        <w:ind w:start="720" w:end="-31" w:hanging="720"/>
        <w:jc w:val="both"/>
        <w:rPr/>
      </w:pPr>
      <w:r>
        <w:rPr>
          <w:rFonts w:cs="Garamond" w:ascii="Garamond" w:hAnsi="Garamond"/>
          <w:sz w:val="22"/>
          <w:szCs w:val="22"/>
          <w:lang w:val="fr-FR"/>
        </w:rPr>
        <w:t xml:space="preserve">Goyon G. </w:t>
      </w:r>
      <w:r>
        <w:rPr>
          <w:rFonts w:cs="Garamond" w:ascii="Garamond" w:hAnsi="Garamond"/>
          <w:i/>
          <w:sz w:val="22"/>
          <w:szCs w:val="22"/>
          <w:lang w:val="fr-FR"/>
        </w:rPr>
        <w:t>Nouvelles inscriptions rupestres du Wadi Hammamat.</w:t>
      </w:r>
      <w:r>
        <w:rPr>
          <w:rFonts w:cs="Garamond" w:ascii="Garamond" w:hAnsi="Garamond"/>
          <w:sz w:val="22"/>
          <w:szCs w:val="22"/>
          <w:lang w:val="fr-FR"/>
        </w:rPr>
        <w:t xml:space="preserve"> </w:t>
      </w:r>
      <w:r>
        <w:rPr>
          <w:rFonts w:cs="Garamond" w:ascii="Garamond" w:hAnsi="Garamond"/>
          <w:sz w:val="22"/>
          <w:szCs w:val="22"/>
          <w:lang w:val="en-US"/>
        </w:rPr>
        <w:t>Paris, 1957.</w:t>
      </w:r>
    </w:p>
    <w:p>
      <w:pPr>
        <w:pStyle w:val="Normal"/>
        <w:ind w:start="720" w:end="-31" w:hanging="720"/>
        <w:jc w:val="both"/>
        <w:rPr/>
      </w:pPr>
      <w:r>
        <w:rPr>
          <w:rFonts w:cs="Garamond" w:ascii="Garamond" w:hAnsi="Garamond"/>
          <w:sz w:val="22"/>
          <w:szCs w:val="22"/>
          <w:lang w:val="en-US"/>
        </w:rPr>
        <w:t xml:space="preserve">Graham A., Strutt K. D., Peeters J., Toonen W. H. J., Pennington B. T., Emery V. L., Barker D. S., Johansson C. Theban Harbours and Waterscapes Survey, Spring 2016. </w:t>
      </w:r>
      <w:r>
        <w:rPr>
          <w:rFonts w:cs="Garamond" w:ascii="Garamond" w:hAnsi="Garamond"/>
          <w:i/>
          <w:sz w:val="22"/>
          <w:szCs w:val="22"/>
          <w:lang w:val="en-US"/>
        </w:rPr>
        <w:t>Journal of Egyptian Archaeology.</w:t>
      </w:r>
      <w:r>
        <w:rPr>
          <w:rFonts w:cs="Garamond" w:ascii="Garamond" w:hAnsi="Garamond"/>
          <w:sz w:val="22"/>
          <w:szCs w:val="22"/>
          <w:lang w:val="en-US"/>
        </w:rPr>
        <w:t xml:space="preserve"> 2016. 102. Pp. 13–21.</w:t>
      </w:r>
    </w:p>
    <w:p>
      <w:pPr>
        <w:pStyle w:val="Normal"/>
        <w:ind w:start="720" w:end="-31" w:hanging="720"/>
        <w:jc w:val="both"/>
        <w:rPr/>
      </w:pPr>
      <w:r>
        <w:rPr>
          <w:rFonts w:cs="Garamond" w:ascii="Garamond" w:hAnsi="Garamond"/>
          <w:sz w:val="22"/>
          <w:szCs w:val="22"/>
          <w:lang w:val="en-US"/>
        </w:rPr>
        <w:t xml:space="preserve">Haynes C. V., Jr. Geochronology and Climate Change of the Pleistocene–Holocene Transition in the Darb el-Arba’in Desert, Eastern Sahara. </w:t>
      </w:r>
      <w:r>
        <w:rPr>
          <w:rFonts w:cs="Garamond" w:ascii="Garamond" w:hAnsi="Garamond"/>
          <w:i/>
          <w:sz w:val="22"/>
          <w:szCs w:val="22"/>
          <w:lang w:val="en-US"/>
        </w:rPr>
        <w:t>Geoarchaelogy</w:t>
      </w:r>
      <w:r>
        <w:rPr>
          <w:rFonts w:cs="Garamond" w:ascii="Garamond" w:hAnsi="Garamond"/>
          <w:sz w:val="22"/>
          <w:szCs w:val="22"/>
          <w:lang w:val="en-US"/>
        </w:rPr>
        <w:t>. 2001. 16. Pp. 119–142.</w:t>
      </w:r>
    </w:p>
    <w:p>
      <w:pPr>
        <w:pStyle w:val="Normal"/>
        <w:ind w:start="720" w:end="-31" w:hanging="720"/>
        <w:jc w:val="both"/>
        <w:rPr/>
      </w:pPr>
      <w:r>
        <w:rPr>
          <w:rFonts w:cs="Garamond" w:ascii="Garamond" w:hAnsi="Garamond"/>
          <w:sz w:val="22"/>
          <w:szCs w:val="22"/>
          <w:lang w:val="en-US"/>
        </w:rPr>
        <w:t xml:space="preserve">Heinzelin J. de. Geological History of the Nile Valley in Nubia. Wendorf F. A. (ed.). </w:t>
      </w:r>
      <w:r>
        <w:rPr>
          <w:rFonts w:cs="Garamond" w:ascii="Garamond" w:hAnsi="Garamond"/>
          <w:i/>
          <w:iCs/>
          <w:sz w:val="22"/>
          <w:szCs w:val="22"/>
          <w:lang w:val="en-US"/>
        </w:rPr>
        <w:t>The Prehistory of</w:t>
      </w:r>
      <w:r>
        <w:rPr>
          <w:rFonts w:cs="Garamond" w:ascii="Garamond" w:hAnsi="Garamond"/>
          <w:i/>
          <w:iCs/>
          <w:sz w:val="22"/>
          <w:szCs w:val="22"/>
        </w:rPr>
        <w:t> </w:t>
      </w:r>
      <w:r>
        <w:rPr>
          <w:rFonts w:cs="Garamond" w:ascii="Garamond" w:hAnsi="Garamond"/>
          <w:i/>
          <w:iCs/>
          <w:sz w:val="22"/>
          <w:szCs w:val="22"/>
          <w:lang w:val="en-US"/>
        </w:rPr>
        <w:t>Nubia</w:t>
      </w:r>
      <w:r>
        <w:rPr>
          <w:rFonts w:cs="Garamond" w:ascii="Garamond" w:hAnsi="Garamond"/>
          <w:i/>
          <w:sz w:val="22"/>
          <w:szCs w:val="22"/>
          <w:lang w:val="en-US"/>
        </w:rPr>
        <w:t xml:space="preserve">. </w:t>
      </w:r>
      <w:r>
        <w:rPr>
          <w:rFonts w:cs="Garamond" w:ascii="Garamond" w:hAnsi="Garamond"/>
          <w:sz w:val="22"/>
          <w:szCs w:val="22"/>
          <w:lang w:val="en-US"/>
        </w:rPr>
        <w:t>Vol. 1. Dallas, 1968. Pp. 19–55.</w:t>
      </w:r>
    </w:p>
    <w:p>
      <w:pPr>
        <w:pStyle w:val="Normal"/>
        <w:ind w:start="720" w:end="-31" w:hanging="720"/>
        <w:jc w:val="both"/>
        <w:rPr/>
      </w:pPr>
      <w:r>
        <w:rPr>
          <w:rFonts w:cs="Garamond" w:ascii="Garamond" w:hAnsi="Garamond"/>
          <w:sz w:val="22"/>
          <w:szCs w:val="22"/>
          <w:lang w:val="en-US"/>
        </w:rPr>
        <w:t xml:space="preserve">Hendrickx S. Out of the Desert. </w:t>
      </w:r>
      <w:r>
        <w:rPr>
          <w:rFonts w:cs="Garamond" w:ascii="Garamond" w:hAnsi="Garamond"/>
          <w:i/>
          <w:sz w:val="22"/>
          <w:szCs w:val="22"/>
          <w:lang w:val="en-US"/>
        </w:rPr>
        <w:t>Cambridge Archaeological Journal</w:t>
      </w:r>
      <w:r>
        <w:rPr>
          <w:rFonts w:cs="Garamond" w:ascii="Garamond" w:hAnsi="Garamond"/>
          <w:sz w:val="22"/>
          <w:szCs w:val="22"/>
          <w:lang w:val="en-US"/>
        </w:rPr>
        <w:t>. 2004. 14. Pp. 122–124.</w:t>
      </w:r>
    </w:p>
    <w:p>
      <w:pPr>
        <w:pStyle w:val="Normal"/>
        <w:ind w:start="720" w:end="-31" w:hanging="720"/>
        <w:jc w:val="both"/>
        <w:rPr/>
      </w:pPr>
      <w:r>
        <w:rPr>
          <w:rFonts w:cs="Garamond" w:ascii="Garamond" w:hAnsi="Garamond"/>
          <w:sz w:val="22"/>
          <w:szCs w:val="22"/>
          <w:lang w:val="en-US"/>
        </w:rPr>
        <w:t xml:space="preserve">Hendrickx S., Darnell J. C., Gatto M. C. The Earliest Representations of Royal Power in Egypt: The Rock Drawings of Nag el-Hamdulab (Aswan). </w:t>
      </w:r>
      <w:r>
        <w:rPr>
          <w:rFonts w:cs="Garamond" w:ascii="Garamond" w:hAnsi="Garamond"/>
          <w:i/>
          <w:sz w:val="22"/>
          <w:szCs w:val="22"/>
          <w:lang w:val="en-US"/>
        </w:rPr>
        <w:t>Antiquity</w:t>
      </w:r>
      <w:r>
        <w:rPr>
          <w:rFonts w:cs="Garamond" w:ascii="Garamond" w:hAnsi="Garamond"/>
          <w:sz w:val="22"/>
          <w:szCs w:val="22"/>
          <w:lang w:val="en-US"/>
        </w:rPr>
        <w:t>. 2012. 86. Pp. 1068–1083.</w:t>
      </w:r>
    </w:p>
    <w:p>
      <w:pPr>
        <w:pStyle w:val="Normal"/>
        <w:ind w:start="720" w:end="-31" w:hanging="720"/>
        <w:jc w:val="both"/>
        <w:rPr/>
      </w:pPr>
      <w:r>
        <w:rPr>
          <w:rFonts w:cs="Garamond" w:ascii="Garamond" w:hAnsi="Garamond"/>
          <w:sz w:val="22"/>
          <w:szCs w:val="22"/>
          <w:lang w:val="en-US"/>
        </w:rPr>
        <w:t xml:space="preserve">Hendrickx S., Darnell J. C., Gatto M. C., Eyckerman M. Iconographic and Palaeogeographic Elements Dating a Dynasty 0 Rock Art Site at Nag el-Hamdulab (Aswan, Egypt). Huyge D., Van Noten F., Swinne D. (eds.). </w:t>
      </w:r>
      <w:r>
        <w:rPr>
          <w:rFonts w:cs="Garamond" w:ascii="Garamond" w:hAnsi="Garamond"/>
          <w:i/>
          <w:sz w:val="22"/>
          <w:szCs w:val="22"/>
          <w:lang w:val="en-US"/>
        </w:rPr>
        <w:t>Signs of Which Times? Chronological and Palaeoenvironmental Issues in the Rock Art of Northern Africa.</w:t>
      </w:r>
      <w:r>
        <w:rPr>
          <w:rFonts w:cs="Garamond" w:ascii="Garamond" w:hAnsi="Garamond"/>
          <w:sz w:val="22"/>
          <w:szCs w:val="22"/>
          <w:lang w:val="en-US"/>
        </w:rPr>
        <w:t xml:space="preserve"> Brussels, 2012. Pp. 295–326.</w:t>
      </w:r>
    </w:p>
    <w:p>
      <w:pPr>
        <w:pStyle w:val="Normal"/>
        <w:ind w:start="720" w:end="-31" w:hanging="720"/>
        <w:jc w:val="both"/>
        <w:rPr/>
      </w:pPr>
      <w:r>
        <w:rPr>
          <w:rFonts w:cs="Garamond" w:ascii="Garamond" w:hAnsi="Garamond"/>
          <w:sz w:val="22"/>
          <w:szCs w:val="22"/>
          <w:lang w:val="en-US"/>
        </w:rPr>
        <w:t xml:space="preserve">Heyerdahl T. </w:t>
      </w:r>
      <w:r>
        <w:rPr>
          <w:rFonts w:cs="Garamond" w:ascii="Garamond" w:hAnsi="Garamond"/>
          <w:i/>
          <w:sz w:val="22"/>
          <w:szCs w:val="22"/>
          <w:lang w:val="en-US"/>
        </w:rPr>
        <w:t>The Ra Expeditions.</w:t>
      </w:r>
      <w:r>
        <w:rPr>
          <w:rFonts w:cs="Garamond" w:ascii="Garamond" w:hAnsi="Garamond"/>
          <w:sz w:val="22"/>
          <w:szCs w:val="22"/>
          <w:lang w:val="en-US"/>
        </w:rPr>
        <w:t xml:space="preserve"> New York, 1971.</w:t>
      </w:r>
    </w:p>
    <w:p>
      <w:pPr>
        <w:pStyle w:val="Normal"/>
        <w:ind w:start="720" w:end="-31" w:hanging="720"/>
        <w:jc w:val="both"/>
        <w:rPr/>
      </w:pPr>
      <w:r>
        <w:rPr>
          <w:rFonts w:cs="Garamond" w:ascii="Garamond" w:hAnsi="Garamond"/>
          <w:sz w:val="22"/>
          <w:szCs w:val="22"/>
          <w:lang w:val="en-US"/>
        </w:rPr>
        <w:t xml:space="preserve">Heyerdahl T. </w:t>
      </w:r>
      <w:r>
        <w:rPr>
          <w:rFonts w:cs="Garamond" w:ascii="Garamond" w:hAnsi="Garamond"/>
          <w:i/>
          <w:sz w:val="22"/>
          <w:szCs w:val="22"/>
          <w:lang w:val="en-US"/>
        </w:rPr>
        <w:t>The Tigris Expedition: In Search of Our Beginnings</w:t>
      </w:r>
      <w:r>
        <w:rPr>
          <w:rFonts w:cs="Garamond" w:ascii="Garamond" w:hAnsi="Garamond"/>
          <w:sz w:val="22"/>
          <w:szCs w:val="22"/>
          <w:lang w:val="en-US"/>
        </w:rPr>
        <w:t>. Crows Nest, 1980.</w:t>
      </w:r>
    </w:p>
    <w:p>
      <w:pPr>
        <w:pStyle w:val="Normal"/>
        <w:ind w:start="720" w:end="-31" w:hanging="720"/>
        <w:jc w:val="both"/>
        <w:rPr/>
      </w:pPr>
      <w:r>
        <w:rPr>
          <w:rFonts w:cs="Garamond" w:ascii="Garamond" w:hAnsi="Garamond"/>
          <w:sz w:val="22"/>
          <w:szCs w:val="22"/>
          <w:lang w:val="en-US"/>
        </w:rPr>
        <w:t xml:space="preserve">Hobbs J. J. </w:t>
      </w:r>
      <w:r>
        <w:rPr>
          <w:rFonts w:cs="Garamond" w:ascii="Garamond" w:hAnsi="Garamond"/>
          <w:i/>
          <w:sz w:val="22"/>
          <w:szCs w:val="22"/>
          <w:lang w:val="en-US"/>
        </w:rPr>
        <w:t>Bedouin Life in the Egyptian Wilderness.</w:t>
      </w:r>
      <w:r>
        <w:rPr>
          <w:rFonts w:cs="Garamond" w:ascii="Garamond" w:hAnsi="Garamond"/>
          <w:sz w:val="22"/>
          <w:szCs w:val="22"/>
          <w:lang w:val="en-US"/>
        </w:rPr>
        <w:t xml:space="preserve"> Austin, 1989.</w:t>
      </w:r>
    </w:p>
    <w:p>
      <w:pPr>
        <w:pStyle w:val="Normal"/>
        <w:ind w:start="720" w:end="-31" w:hanging="720"/>
        <w:jc w:val="both"/>
        <w:rPr/>
      </w:pPr>
      <w:r>
        <w:rPr>
          <w:rFonts w:cs="Garamond" w:ascii="Garamond" w:hAnsi="Garamond"/>
          <w:sz w:val="22"/>
          <w:szCs w:val="22"/>
          <w:lang w:val="en-US"/>
        </w:rPr>
        <w:t xml:space="preserve">Huang J., Wang S., Wen X., Yang B. Progress in Studies of the Climate of Humid Period and the Impacts of Changing Precession in Early-Mid Holocene. </w:t>
      </w:r>
      <w:r>
        <w:rPr>
          <w:rFonts w:cs="Garamond" w:ascii="Garamond" w:hAnsi="Garamond"/>
          <w:i/>
          <w:sz w:val="22"/>
          <w:szCs w:val="22"/>
          <w:lang w:val="en-US"/>
        </w:rPr>
        <w:t>Progress in Natural Science.</w:t>
      </w:r>
      <w:r>
        <w:rPr>
          <w:rFonts w:cs="Garamond" w:ascii="Garamond" w:hAnsi="Garamond"/>
          <w:sz w:val="22"/>
          <w:szCs w:val="22"/>
          <w:lang w:val="en-US"/>
        </w:rPr>
        <w:t xml:space="preserve"> 2008. 18. Pp. 1459–1464.</w:t>
      </w:r>
    </w:p>
    <w:p>
      <w:pPr>
        <w:pStyle w:val="Normal"/>
        <w:ind w:start="720" w:end="-31" w:hanging="720"/>
        <w:jc w:val="both"/>
        <w:rPr/>
      </w:pPr>
      <w:r>
        <w:rPr>
          <w:rFonts w:cs="Garamond" w:ascii="Garamond" w:hAnsi="Garamond"/>
          <w:sz w:val="22"/>
          <w:szCs w:val="22"/>
          <w:lang w:val="en-US"/>
        </w:rPr>
        <w:t xml:space="preserve">Huyge D. Cosmology, Ideolody and Personal Religious Practice in Ancient Egyptian Rock Art. Friedman R. F. (ed.). </w:t>
      </w:r>
      <w:r>
        <w:rPr>
          <w:rFonts w:cs="Garamond" w:ascii="Garamond" w:hAnsi="Garamond"/>
          <w:i/>
          <w:sz w:val="22"/>
          <w:szCs w:val="22"/>
          <w:lang w:val="en-US"/>
        </w:rPr>
        <w:t>Egypt and Nubia: Gifts of the Desert</w:t>
      </w:r>
      <w:r>
        <w:rPr>
          <w:rFonts w:cs="Garamond" w:ascii="Garamond" w:hAnsi="Garamond"/>
          <w:sz w:val="22"/>
          <w:szCs w:val="22"/>
          <w:lang w:val="en-US"/>
        </w:rPr>
        <w:t>. London, 2002a. Pp. 192–206.</w:t>
      </w:r>
    </w:p>
    <w:p>
      <w:pPr>
        <w:pStyle w:val="Normal"/>
        <w:ind w:start="720" w:end="-31" w:hanging="720"/>
        <w:jc w:val="both"/>
        <w:rPr/>
      </w:pPr>
      <w:r>
        <w:rPr>
          <w:rFonts w:cs="Garamond" w:ascii="Garamond" w:hAnsi="Garamond"/>
          <w:sz w:val="22"/>
          <w:szCs w:val="22"/>
          <w:lang w:val="en-US"/>
        </w:rPr>
        <w:t xml:space="preserve">Huyge D. Grandeur in Confined Places: Current Rock Art Research in Egypt. Bahn P. G., Fossati A. (eds.). </w:t>
      </w:r>
      <w:r>
        <w:rPr>
          <w:rFonts w:cs="Garamond" w:ascii="Garamond" w:hAnsi="Garamond"/>
          <w:i/>
          <w:iCs/>
          <w:sz w:val="22"/>
          <w:szCs w:val="22"/>
          <w:lang w:val="en-US"/>
        </w:rPr>
        <w:t xml:space="preserve">Rock Art Studies: News of the World. </w:t>
      </w:r>
      <w:r>
        <w:rPr>
          <w:rFonts w:cs="Garamond" w:ascii="Garamond" w:hAnsi="Garamond"/>
          <w:iCs/>
          <w:sz w:val="22"/>
          <w:szCs w:val="22"/>
          <w:lang w:val="en-US"/>
        </w:rPr>
        <w:t>Vol. 2</w:t>
      </w:r>
      <w:r>
        <w:rPr>
          <w:rFonts w:cs="Garamond" w:ascii="Garamond" w:hAnsi="Garamond"/>
          <w:sz w:val="22"/>
          <w:szCs w:val="22"/>
          <w:lang w:val="en-US"/>
        </w:rPr>
        <w:t>. Oxford, 2002b. Pp. 59–73.</w:t>
      </w:r>
    </w:p>
    <w:p>
      <w:pPr>
        <w:pStyle w:val="Normal"/>
        <w:ind w:start="720" w:end="-31" w:hanging="720"/>
        <w:jc w:val="both"/>
        <w:rPr/>
      </w:pPr>
      <w:r>
        <w:rPr>
          <w:rFonts w:cs="Garamond" w:ascii="Garamond" w:hAnsi="Garamond"/>
          <w:sz w:val="22"/>
          <w:szCs w:val="22"/>
          <w:lang w:val="en-US"/>
        </w:rPr>
        <w:t xml:space="preserve">Judd T. A Rock Art Palimpsest: Evidence of the Relative Ages of Some Eastern Desert Petroglyphs. </w:t>
      </w:r>
      <w:r>
        <w:rPr>
          <w:rFonts w:cs="Garamond" w:ascii="Garamond" w:hAnsi="Garamond"/>
          <w:i/>
          <w:iCs/>
          <w:sz w:val="22"/>
          <w:szCs w:val="22"/>
          <w:lang w:val="en-US"/>
        </w:rPr>
        <w:t>Journal of Egyptian Archaeology</w:t>
      </w:r>
      <w:r>
        <w:rPr>
          <w:rFonts w:cs="Garamond" w:ascii="Garamond" w:hAnsi="Garamond"/>
          <w:sz w:val="22"/>
          <w:szCs w:val="22"/>
          <w:lang w:val="en-US"/>
        </w:rPr>
        <w:t>. 2008. 94. Pp. 282–288.</w:t>
      </w:r>
    </w:p>
    <w:p>
      <w:pPr>
        <w:pStyle w:val="Normal"/>
        <w:ind w:start="720" w:end="-31" w:hanging="720"/>
        <w:jc w:val="both"/>
        <w:rPr/>
      </w:pPr>
      <w:r>
        <w:rPr>
          <w:rFonts w:cs="Garamond" w:ascii="Garamond" w:hAnsi="Garamond"/>
          <w:sz w:val="22"/>
          <w:szCs w:val="22"/>
          <w:lang w:val="en-US"/>
        </w:rPr>
        <w:t xml:space="preserve">Judd T. </w:t>
      </w:r>
      <w:r>
        <w:rPr>
          <w:rFonts w:cs="Garamond" w:ascii="Garamond" w:hAnsi="Garamond"/>
          <w:i/>
          <w:sz w:val="22"/>
          <w:szCs w:val="22"/>
          <w:lang w:val="en-US"/>
        </w:rPr>
        <w:t>Rock Art of the Eastern Desert of Egypt: Content, Comparisons, Dating and Significance.</w:t>
      </w:r>
      <w:r>
        <w:rPr>
          <w:rFonts w:cs="Garamond" w:ascii="Garamond" w:hAnsi="Garamond"/>
          <w:sz w:val="22"/>
          <w:szCs w:val="22"/>
          <w:lang w:val="en-US"/>
        </w:rPr>
        <w:t xml:space="preserve"> Oxford, 2009.</w:t>
      </w:r>
    </w:p>
    <w:p>
      <w:pPr>
        <w:pStyle w:val="Normal"/>
        <w:ind w:start="720" w:end="-31" w:hanging="720"/>
        <w:jc w:val="both"/>
        <w:rPr/>
      </w:pPr>
      <w:r>
        <w:rPr>
          <w:rFonts w:cs="Garamond" w:ascii="Garamond" w:hAnsi="Garamond"/>
          <w:sz w:val="22"/>
          <w:szCs w:val="22"/>
          <w:lang w:val="en-US"/>
        </w:rPr>
        <w:t xml:space="preserve">Judd T. Recent Discoveries of Rock Art in the Eastern Desert of Egypt. </w:t>
      </w:r>
      <w:r>
        <w:rPr>
          <w:rFonts w:cs="Garamond" w:ascii="Garamond" w:hAnsi="Garamond"/>
          <w:i/>
          <w:sz w:val="22"/>
          <w:szCs w:val="22"/>
          <w:lang w:val="en-US"/>
        </w:rPr>
        <w:t>Archéo-Nil</w:t>
      </w:r>
      <w:r>
        <w:rPr>
          <w:rFonts w:cs="Garamond" w:ascii="Garamond" w:hAnsi="Garamond"/>
          <w:sz w:val="22"/>
          <w:szCs w:val="22"/>
          <w:lang w:val="en-US"/>
        </w:rPr>
        <w:t>. 2010. 20. Pp. 156–171.</w:t>
      </w:r>
    </w:p>
    <w:p>
      <w:pPr>
        <w:pStyle w:val="Normal"/>
        <w:ind w:start="720" w:end="-31" w:hanging="720"/>
        <w:jc w:val="both"/>
        <w:rPr/>
      </w:pPr>
      <w:r>
        <w:rPr>
          <w:rFonts w:cs="Garamond" w:ascii="Garamond" w:hAnsi="Garamond"/>
          <w:sz w:val="22"/>
          <w:szCs w:val="22"/>
          <w:lang w:val="en-US"/>
        </w:rPr>
        <w:t xml:space="preserve">Junginger H. Das tragische Leben von Hans Alexander Winkler (1900–1945) und seiner armenischen Frau Hayastan (1901–1937). </w:t>
      </w:r>
      <w:r>
        <w:rPr>
          <w:rFonts w:cs="Garamond" w:ascii="Garamond" w:hAnsi="Garamond"/>
          <w:i/>
          <w:sz w:val="22"/>
          <w:szCs w:val="22"/>
          <w:lang w:val="en-US"/>
        </w:rPr>
        <w:t>Bausteine zur Tübinger Universitätsgeschichte.</w:t>
      </w:r>
      <w:r>
        <w:rPr>
          <w:rFonts w:cs="Garamond" w:ascii="Garamond" w:hAnsi="Garamond"/>
          <w:sz w:val="22"/>
          <w:szCs w:val="22"/>
          <w:lang w:val="en-US"/>
        </w:rPr>
        <w:t xml:space="preserve"> 1995. 7. S. 83–110.</w:t>
      </w:r>
    </w:p>
    <w:p>
      <w:pPr>
        <w:pStyle w:val="Normal"/>
        <w:ind w:start="720" w:end="-31" w:hanging="720"/>
        <w:jc w:val="both"/>
        <w:rPr/>
      </w:pPr>
      <w:r>
        <w:rPr>
          <w:rFonts w:cs="Garamond" w:ascii="Garamond" w:hAnsi="Garamond"/>
          <w:bCs/>
          <w:iCs/>
          <w:sz w:val="22"/>
          <w:szCs w:val="22"/>
          <w:lang w:val="en-US"/>
        </w:rPr>
        <w:t>Keding B.</w:t>
      </w:r>
      <w:r>
        <w:rPr>
          <w:rFonts w:cs="Garamond" w:ascii="Garamond" w:hAnsi="Garamond"/>
          <w:sz w:val="22"/>
          <w:szCs w:val="22"/>
          <w:lang w:val="en-US"/>
        </w:rPr>
        <w:t xml:space="preserve"> The Yellow Nile: New Data on Settlement and the Environment in the Sudanese Eastern Sahara. </w:t>
      </w:r>
      <w:r>
        <w:rPr>
          <w:rFonts w:cs="Garamond" w:ascii="Garamond" w:hAnsi="Garamond"/>
          <w:i/>
          <w:iCs/>
          <w:sz w:val="22"/>
          <w:szCs w:val="22"/>
          <w:lang w:val="en-US"/>
        </w:rPr>
        <w:t>Sudan and Nubia</w:t>
      </w:r>
      <w:r>
        <w:rPr>
          <w:rFonts w:cs="Garamond" w:ascii="Garamond" w:hAnsi="Garamond"/>
          <w:sz w:val="22"/>
          <w:szCs w:val="22"/>
          <w:lang w:val="en-US"/>
        </w:rPr>
        <w:t>. 1998. 2. Pp. 2–12.</w:t>
      </w:r>
    </w:p>
    <w:p>
      <w:pPr>
        <w:pStyle w:val="Normal"/>
        <w:ind w:start="720" w:end="-31" w:hanging="720"/>
        <w:jc w:val="both"/>
        <w:rPr/>
      </w:pPr>
      <w:r>
        <w:rPr>
          <w:rFonts w:cs="Garamond" w:ascii="Garamond" w:hAnsi="Garamond"/>
          <w:sz w:val="22"/>
          <w:szCs w:val="22"/>
          <w:lang w:val="en-US"/>
        </w:rPr>
        <w:t xml:space="preserve">Kemp B. J. </w:t>
      </w:r>
      <w:r>
        <w:rPr>
          <w:rFonts w:cs="Garamond" w:ascii="Garamond" w:hAnsi="Garamond"/>
          <w:i/>
          <w:sz w:val="22"/>
          <w:szCs w:val="22"/>
          <w:lang w:val="en-US"/>
        </w:rPr>
        <w:t>Ancient Egypt: Anatomy of a Civilization.</w:t>
      </w:r>
      <w:r>
        <w:rPr>
          <w:rFonts w:cs="Garamond" w:ascii="Garamond" w:hAnsi="Garamond"/>
          <w:sz w:val="22"/>
          <w:szCs w:val="22"/>
          <w:lang w:val="en-US"/>
        </w:rPr>
        <w:t xml:space="preserve"> London, 1989.</w:t>
      </w:r>
    </w:p>
    <w:p>
      <w:pPr>
        <w:pStyle w:val="Normal"/>
        <w:ind w:start="720" w:end="-31" w:hanging="720"/>
        <w:jc w:val="both"/>
        <w:rPr/>
      </w:pPr>
      <w:r>
        <w:rPr>
          <w:rFonts w:cs="Garamond" w:ascii="Garamond" w:hAnsi="Garamond"/>
          <w:iCs/>
          <w:sz w:val="22"/>
          <w:szCs w:val="22"/>
          <w:lang w:val="en-US"/>
        </w:rPr>
        <w:t xml:space="preserve">Kröpelin S. Zur Rekonstruktion der spätquartären Umwelt am Unteren Wadi Howar (Südöstliche Sahara/NW-Sudan). </w:t>
      </w:r>
      <w:r>
        <w:rPr>
          <w:rFonts w:cs="Garamond" w:ascii="Garamond" w:hAnsi="Garamond"/>
          <w:i/>
          <w:iCs/>
          <w:sz w:val="22"/>
          <w:szCs w:val="22"/>
          <w:lang w:val="en-US"/>
        </w:rPr>
        <w:t>Berliner Geographische Abhandlungen.</w:t>
      </w:r>
      <w:r>
        <w:rPr>
          <w:rFonts w:cs="Garamond" w:ascii="Garamond" w:hAnsi="Garamond"/>
          <w:iCs/>
          <w:sz w:val="22"/>
          <w:szCs w:val="22"/>
          <w:lang w:val="en-US"/>
        </w:rPr>
        <w:t xml:space="preserve"> 1993. 54. S. 1–293.</w:t>
      </w:r>
    </w:p>
    <w:p>
      <w:pPr>
        <w:pStyle w:val="Normal"/>
        <w:ind w:start="720" w:end="-31" w:hanging="720"/>
        <w:jc w:val="both"/>
        <w:rPr/>
      </w:pPr>
      <w:r>
        <w:rPr>
          <w:rFonts w:cs="Garamond" w:ascii="Garamond" w:hAnsi="Garamond"/>
          <w:sz w:val="22"/>
          <w:szCs w:val="22"/>
          <w:lang w:val="en-US"/>
        </w:rPr>
        <w:t xml:space="preserve">Kröpelin S. Terrestrische Paläoklimatologie heute arider Gebiete: Resultate aus dem Unteren Wadi Howar (Südöstliche Sahara/NW-Sudan). Klitzsch E., Thorweihe U. (Hrsg.). </w:t>
      </w:r>
      <w:r>
        <w:rPr>
          <w:rFonts w:cs="Garamond" w:ascii="Garamond" w:hAnsi="Garamond"/>
          <w:i/>
          <w:sz w:val="22"/>
          <w:szCs w:val="22"/>
          <w:lang w:val="en-US"/>
        </w:rPr>
        <w:t>Nordost-Afrika: Strukturen und Ressourcen. Ergebnisse aus dem Sonderforschungsbereich “Geowissenschaftliche Probleme in ariden und semiariden Gebieten”.</w:t>
      </w:r>
      <w:r>
        <w:rPr>
          <w:rFonts w:cs="Garamond" w:ascii="Garamond" w:hAnsi="Garamond"/>
          <w:sz w:val="22"/>
          <w:szCs w:val="22"/>
          <w:lang w:val="en-US"/>
        </w:rPr>
        <w:t xml:space="preserve"> Weinheim, 1999. Pp. 446–506.</w:t>
      </w:r>
    </w:p>
    <w:p>
      <w:pPr>
        <w:pStyle w:val="Normal"/>
        <w:ind w:start="720" w:end="-31" w:hanging="720"/>
        <w:jc w:val="both"/>
        <w:rPr/>
      </w:pPr>
      <w:r>
        <w:rPr>
          <w:rFonts w:cs="Garamond" w:ascii="Garamond" w:hAnsi="Garamond"/>
          <w:sz w:val="22"/>
          <w:szCs w:val="22"/>
          <w:lang w:val="en-US"/>
        </w:rPr>
        <w:t xml:space="preserve">Lankester F. </w:t>
      </w:r>
      <w:r>
        <w:rPr>
          <w:rFonts w:cs="Garamond" w:ascii="Garamond" w:hAnsi="Garamond"/>
          <w:i/>
          <w:sz w:val="22"/>
          <w:szCs w:val="22"/>
          <w:lang w:val="en-US"/>
        </w:rPr>
        <w:t>Predynastic and Pharaonic Era Rock-Art in Egypt’s Central Eastern Desert: Distribution, Dating and Interpretation. Thesis Submitted for the Degree of Ph. D. Archaeology.</w:t>
      </w:r>
      <w:r>
        <w:rPr>
          <w:rFonts w:cs="Garamond" w:ascii="Garamond" w:hAnsi="Garamond"/>
          <w:sz w:val="22"/>
          <w:szCs w:val="22"/>
          <w:lang w:val="en-US"/>
        </w:rPr>
        <w:t xml:space="preserve"> Durham, 2012.</w:t>
      </w:r>
    </w:p>
    <w:p>
      <w:pPr>
        <w:pStyle w:val="Normal"/>
        <w:ind w:start="720" w:end="-31" w:hanging="720"/>
        <w:jc w:val="both"/>
        <w:rPr/>
      </w:pPr>
      <w:r>
        <w:rPr>
          <w:rFonts w:cs="Garamond" w:ascii="Garamond" w:hAnsi="Garamond"/>
          <w:sz w:val="22"/>
          <w:szCs w:val="22"/>
          <w:lang w:val="en-US"/>
        </w:rPr>
        <w:t xml:space="preserve">Lankester F. </w:t>
      </w:r>
      <w:r>
        <w:rPr>
          <w:rFonts w:cs="Garamond" w:ascii="Garamond" w:hAnsi="Garamond"/>
          <w:i/>
          <w:sz w:val="22"/>
          <w:szCs w:val="22"/>
          <w:lang w:val="en-US"/>
        </w:rPr>
        <w:t>Desert Boats. Predynastic and Pharaonic Era Rock-Art in Egypt’s Central Eastern Desert: Distribution, Dating and Interpretation.</w:t>
      </w:r>
      <w:r>
        <w:rPr>
          <w:rFonts w:cs="Garamond" w:ascii="Garamond" w:hAnsi="Garamond"/>
          <w:sz w:val="22"/>
          <w:szCs w:val="22"/>
          <w:lang w:val="en-US"/>
        </w:rPr>
        <w:t xml:space="preserve"> </w:t>
      </w:r>
      <w:r>
        <w:rPr>
          <w:rFonts w:cs="Garamond" w:ascii="Garamond" w:hAnsi="Garamond"/>
          <w:sz w:val="22"/>
          <w:szCs w:val="22"/>
          <w:lang w:val="fr-FR"/>
        </w:rPr>
        <w:t>Oxford, 2013.</w:t>
      </w:r>
    </w:p>
    <w:p>
      <w:pPr>
        <w:pStyle w:val="Normal"/>
        <w:ind w:start="720" w:end="-31" w:hanging="720"/>
        <w:jc w:val="both"/>
        <w:rPr/>
      </w:pPr>
      <w:r>
        <w:rPr>
          <w:rFonts w:cs="Garamond" w:ascii="Garamond" w:hAnsi="Garamond"/>
          <w:sz w:val="22"/>
          <w:szCs w:val="22"/>
          <w:lang w:val="fr-FR"/>
        </w:rPr>
        <w:t xml:space="preserve">Leblanc C. Thèbes et les pluies torrentielles: à propos de </w:t>
      </w:r>
      <w:r>
        <w:rPr>
          <w:rFonts w:cs="Garamond" w:ascii="Garamond" w:hAnsi="Garamond"/>
          <w:i/>
          <w:sz w:val="22"/>
          <w:szCs w:val="22"/>
          <w:lang w:val="fr-FR"/>
        </w:rPr>
        <w:t>mw n pt</w:t>
      </w:r>
      <w:r>
        <w:rPr>
          <w:rFonts w:cs="Garamond" w:ascii="Garamond" w:hAnsi="Garamond"/>
          <w:sz w:val="22"/>
          <w:szCs w:val="22"/>
          <w:lang w:val="fr-FR"/>
        </w:rPr>
        <w:t xml:space="preserve">. </w:t>
      </w:r>
      <w:r>
        <w:rPr>
          <w:rFonts w:cs="Garamond" w:ascii="Garamond" w:hAnsi="Garamond"/>
          <w:i/>
          <w:sz w:val="22"/>
          <w:szCs w:val="22"/>
          <w:lang w:val="fr-FR"/>
        </w:rPr>
        <w:t>Memnonia: Bulletin édité par l’Association pour la sauvegarde du Ramesseum</w:t>
      </w:r>
      <w:r>
        <w:rPr>
          <w:rFonts w:cs="Garamond" w:ascii="Garamond" w:hAnsi="Garamond"/>
          <w:sz w:val="22"/>
          <w:szCs w:val="22"/>
          <w:lang w:val="fr-FR"/>
        </w:rPr>
        <w:t>. 1995. 6. Pp. 197–214.</w:t>
      </w:r>
    </w:p>
    <w:p>
      <w:pPr>
        <w:pStyle w:val="Normal"/>
        <w:ind w:start="720" w:end="-31" w:hanging="720"/>
        <w:jc w:val="both"/>
        <w:rPr/>
      </w:pPr>
      <w:r>
        <w:rPr>
          <w:rFonts w:cs="Garamond" w:ascii="Garamond" w:hAnsi="Garamond"/>
          <w:sz w:val="22"/>
          <w:szCs w:val="22"/>
          <w:lang w:val="fr-FR"/>
        </w:rPr>
        <w:t xml:space="preserve">Lhote H. </w:t>
      </w:r>
      <w:r>
        <w:rPr>
          <w:rFonts w:cs="Garamond" w:ascii="Garamond" w:hAnsi="Garamond"/>
          <w:i/>
          <w:sz w:val="22"/>
          <w:szCs w:val="22"/>
          <w:lang w:val="fr-FR"/>
        </w:rPr>
        <w:t>A la découverte des fresques du Tassili</w:t>
      </w:r>
      <w:r>
        <w:rPr>
          <w:rFonts w:cs="Garamond" w:ascii="Garamond" w:hAnsi="Garamond"/>
          <w:sz w:val="22"/>
          <w:szCs w:val="22"/>
          <w:lang w:val="fr-FR"/>
        </w:rPr>
        <w:t xml:space="preserve">. </w:t>
      </w:r>
      <w:r>
        <w:rPr>
          <w:rFonts w:cs="Garamond" w:ascii="Garamond" w:hAnsi="Garamond"/>
          <w:sz w:val="22"/>
          <w:szCs w:val="22"/>
          <w:lang w:val="en-US"/>
        </w:rPr>
        <w:t>Paris, 1958.</w:t>
      </w:r>
    </w:p>
    <w:p>
      <w:pPr>
        <w:pStyle w:val="Normal"/>
        <w:ind w:start="720" w:end="-31" w:hanging="720"/>
        <w:jc w:val="both"/>
        <w:rPr/>
      </w:pPr>
      <w:r>
        <w:rPr>
          <w:rFonts w:cs="Garamond" w:ascii="Garamond" w:hAnsi="Garamond"/>
          <w:sz w:val="22"/>
          <w:szCs w:val="22"/>
          <w:lang w:val="en-US"/>
        </w:rPr>
        <w:t xml:space="preserve">Midant-Reynes B. </w:t>
      </w:r>
      <w:r>
        <w:rPr>
          <w:rFonts w:cs="Garamond" w:ascii="Garamond" w:hAnsi="Garamond"/>
          <w:i/>
          <w:sz w:val="22"/>
          <w:szCs w:val="22"/>
          <w:lang w:val="en-US"/>
        </w:rPr>
        <w:t>The Prehistory of Egypt. From the First Egyptians to the First Pharaohs</w:t>
      </w:r>
      <w:r>
        <w:rPr>
          <w:rFonts w:cs="Garamond" w:ascii="Garamond" w:hAnsi="Garamond"/>
          <w:sz w:val="22"/>
          <w:szCs w:val="22"/>
          <w:lang w:val="en-US"/>
        </w:rPr>
        <w:t>. Oxford, 2000.</w:t>
      </w:r>
    </w:p>
    <w:p>
      <w:pPr>
        <w:pStyle w:val="Normal"/>
        <w:ind w:start="720" w:end="-31" w:hanging="720"/>
        <w:jc w:val="both"/>
        <w:rPr/>
      </w:pPr>
      <w:r>
        <w:rPr>
          <w:rFonts w:cs="Garamond" w:ascii="Garamond" w:hAnsi="Garamond"/>
          <w:sz w:val="22"/>
          <w:szCs w:val="22"/>
          <w:lang w:val="en-US"/>
        </w:rPr>
        <w:t xml:space="preserve">Mithen S. J. </w:t>
      </w:r>
      <w:r>
        <w:rPr>
          <w:rFonts w:cs="Garamond" w:ascii="Garamond" w:hAnsi="Garamond"/>
          <w:i/>
          <w:sz w:val="22"/>
          <w:szCs w:val="22"/>
          <w:lang w:val="en-US"/>
        </w:rPr>
        <w:t>The Prehistory of the Mind: A Search for the Origins of Art, Religion, and Science.</w:t>
      </w:r>
      <w:r>
        <w:rPr>
          <w:rFonts w:cs="Garamond" w:ascii="Garamond" w:hAnsi="Garamond"/>
          <w:sz w:val="22"/>
          <w:szCs w:val="22"/>
          <w:lang w:val="en-US"/>
        </w:rPr>
        <w:t xml:space="preserve"> London, 1996.</w:t>
      </w:r>
    </w:p>
    <w:p>
      <w:pPr>
        <w:pStyle w:val="Normal"/>
        <w:ind w:start="720" w:end="-31" w:hanging="720"/>
        <w:jc w:val="both"/>
        <w:rPr/>
      </w:pPr>
      <w:r>
        <w:rPr>
          <w:rFonts w:cs="Garamond" w:ascii="Garamond" w:hAnsi="Garamond"/>
          <w:sz w:val="22"/>
          <w:szCs w:val="22"/>
          <w:lang w:val="en-US"/>
        </w:rPr>
        <w:t xml:space="preserve">Moneim A. A. A. Overview of the Geomorphological and Hydrogeological Characteristics of the Eastern Desert of Egypt. </w:t>
      </w:r>
      <w:r>
        <w:rPr>
          <w:rFonts w:cs="Garamond" w:ascii="Garamond" w:hAnsi="Garamond"/>
          <w:i/>
          <w:sz w:val="22"/>
          <w:szCs w:val="22"/>
          <w:lang w:val="en-US"/>
        </w:rPr>
        <w:t>Hydrogeology Journal.</w:t>
      </w:r>
      <w:r>
        <w:rPr>
          <w:rFonts w:cs="Garamond" w:ascii="Garamond" w:hAnsi="Garamond"/>
          <w:sz w:val="22"/>
          <w:szCs w:val="22"/>
          <w:lang w:val="en-US"/>
        </w:rPr>
        <w:t xml:space="preserve"> 2005. 13. Pp. 416–425.</w:t>
      </w:r>
    </w:p>
    <w:p>
      <w:pPr>
        <w:pStyle w:val="Normal"/>
        <w:ind w:start="720" w:end="-31" w:hanging="720"/>
        <w:jc w:val="both"/>
        <w:rPr/>
      </w:pPr>
      <w:r>
        <w:rPr>
          <w:rFonts w:cs="Garamond" w:ascii="Garamond" w:hAnsi="Garamond"/>
          <w:sz w:val="22"/>
          <w:szCs w:val="22"/>
          <w:lang w:val="en-US"/>
        </w:rPr>
        <w:t xml:space="preserve">Morrow M. A., Morrow M. J. P. (eds.). </w:t>
      </w:r>
      <w:r>
        <w:rPr>
          <w:rFonts w:cs="Garamond" w:ascii="Garamond" w:hAnsi="Garamond"/>
          <w:i/>
          <w:sz w:val="22"/>
          <w:szCs w:val="22"/>
          <w:lang w:val="en-US"/>
        </w:rPr>
        <w:t>Desert RATS: Rock Art Topographical Survey in Egypt’s Eastern Desert: Site Catalogue</w:t>
      </w:r>
      <w:r>
        <w:rPr>
          <w:rFonts w:cs="Garamond" w:ascii="Garamond" w:hAnsi="Garamond"/>
          <w:sz w:val="22"/>
          <w:szCs w:val="22"/>
          <w:lang w:val="en-US"/>
        </w:rPr>
        <w:t>. London, 2002.</w:t>
      </w:r>
    </w:p>
    <w:p>
      <w:pPr>
        <w:pStyle w:val="Normal"/>
        <w:ind w:start="720" w:end="-31" w:hanging="720"/>
        <w:jc w:val="both"/>
        <w:rPr/>
      </w:pPr>
      <w:r>
        <w:rPr>
          <w:rFonts w:cs="Garamond" w:ascii="Garamond" w:hAnsi="Garamond"/>
          <w:sz w:val="22"/>
          <w:szCs w:val="22"/>
          <w:lang w:val="en-US"/>
        </w:rPr>
        <w:t xml:space="preserve">Murray M. A. Burial Customs and Beliefs in the Hereafter in Predynastic Egypt. </w:t>
      </w:r>
      <w:r>
        <w:rPr>
          <w:rFonts w:cs="Garamond" w:ascii="Garamond" w:hAnsi="Garamond"/>
          <w:i/>
          <w:iCs/>
          <w:sz w:val="22"/>
          <w:szCs w:val="22"/>
          <w:lang w:val="en-US"/>
        </w:rPr>
        <w:t>Journal of Egyptian Archaeology</w:t>
      </w:r>
      <w:r>
        <w:rPr>
          <w:rFonts w:cs="Garamond" w:ascii="Garamond" w:hAnsi="Garamond"/>
          <w:sz w:val="22"/>
          <w:szCs w:val="22"/>
          <w:lang w:val="en-US"/>
        </w:rPr>
        <w:t>. 1956. 42. Pp. 86–96.</w:t>
      </w:r>
    </w:p>
    <w:p>
      <w:pPr>
        <w:pStyle w:val="Normal"/>
        <w:ind w:start="720" w:end="-31" w:hanging="720"/>
        <w:jc w:val="both"/>
        <w:rPr/>
      </w:pPr>
      <w:r>
        <w:rPr>
          <w:rFonts w:cs="Garamond" w:ascii="Garamond" w:hAnsi="Garamond"/>
          <w:sz w:val="22"/>
          <w:szCs w:val="22"/>
          <w:lang w:val="en-US"/>
        </w:rPr>
        <w:t xml:space="preserve">Naville E. </w:t>
      </w:r>
      <w:r>
        <w:rPr>
          <w:rFonts w:cs="Garamond" w:ascii="Garamond" w:hAnsi="Garamond"/>
          <w:i/>
          <w:sz w:val="22"/>
          <w:szCs w:val="22"/>
          <w:lang w:val="en-US"/>
        </w:rPr>
        <w:t xml:space="preserve">The Temple of Deir El Bahari. </w:t>
      </w:r>
      <w:r>
        <w:rPr>
          <w:rFonts w:cs="Garamond" w:ascii="Garamond" w:hAnsi="Garamond"/>
          <w:sz w:val="22"/>
          <w:szCs w:val="22"/>
          <w:lang w:val="en-US"/>
        </w:rPr>
        <w:t>Pt. 4.</w:t>
      </w:r>
      <w:r>
        <w:rPr>
          <w:rFonts w:cs="Garamond" w:ascii="Garamond" w:hAnsi="Garamond"/>
          <w:i/>
          <w:sz w:val="22"/>
          <w:szCs w:val="22"/>
          <w:lang w:val="en-US"/>
        </w:rPr>
        <w:t xml:space="preserve"> The Shrine of Hathor and the Southern Hall of Offerings.</w:t>
      </w:r>
      <w:r>
        <w:rPr>
          <w:rFonts w:cs="Garamond" w:ascii="Garamond" w:hAnsi="Garamond"/>
          <w:sz w:val="22"/>
          <w:szCs w:val="22"/>
          <w:lang w:val="en-US"/>
        </w:rPr>
        <w:t xml:space="preserve"> London, 1901.</w:t>
      </w:r>
    </w:p>
    <w:p>
      <w:pPr>
        <w:pStyle w:val="Normal"/>
        <w:ind w:start="720" w:end="-31" w:hanging="720"/>
        <w:jc w:val="both"/>
        <w:rPr/>
      </w:pPr>
      <w:r>
        <w:rPr>
          <w:rFonts w:cs="Garamond" w:ascii="Garamond" w:hAnsi="Garamond"/>
          <w:iCs/>
          <w:sz w:val="22"/>
          <w:szCs w:val="22"/>
          <w:lang w:val="en-US"/>
        </w:rPr>
        <w:t xml:space="preserve">Neer W. van. Holocene Fish Remains from the Sahara. </w:t>
      </w:r>
      <w:r>
        <w:rPr>
          <w:rFonts w:cs="Garamond" w:ascii="Garamond" w:hAnsi="Garamond"/>
          <w:i/>
          <w:iCs/>
          <w:sz w:val="22"/>
          <w:szCs w:val="22"/>
          <w:lang w:val="en-US"/>
        </w:rPr>
        <w:t>Sahara</w:t>
      </w:r>
      <w:r>
        <w:rPr>
          <w:rFonts w:cs="Garamond" w:ascii="Garamond" w:hAnsi="Garamond"/>
          <w:iCs/>
          <w:sz w:val="22"/>
          <w:szCs w:val="22"/>
          <w:lang w:val="en-US"/>
        </w:rPr>
        <w:t>. 1989. 2. Pp. 61–68.</w:t>
      </w:r>
    </w:p>
    <w:p>
      <w:pPr>
        <w:pStyle w:val="Normal"/>
        <w:ind w:start="720" w:end="-31" w:hanging="720"/>
        <w:jc w:val="both"/>
        <w:rPr>
          <w:rFonts w:ascii="Garamond" w:hAnsi="Garamond" w:cs="Garamond"/>
          <w:iCs/>
          <w:sz w:val="22"/>
          <w:szCs w:val="22"/>
          <w:lang w:val="en-US"/>
        </w:rPr>
      </w:pPr>
      <w:r>
        <w:rPr>
          <w:rFonts w:cs="Garamond" w:ascii="Garamond" w:hAnsi="Garamond"/>
          <w:sz w:val="22"/>
          <w:szCs w:val="22"/>
          <w:lang w:val="en-US"/>
        </w:rPr>
        <w:t xml:space="preserve">Pachur H.-J., Hoelzmann P. Palaeoclimatic Implications of Late Quaternary Lacustrine Sediments in Western Nubia. </w:t>
      </w:r>
      <w:r>
        <w:rPr>
          <w:rFonts w:cs="Garamond" w:ascii="Garamond" w:hAnsi="Garamond"/>
          <w:i/>
          <w:iCs/>
          <w:sz w:val="22"/>
          <w:szCs w:val="22"/>
          <w:lang w:val="en-US"/>
        </w:rPr>
        <w:t xml:space="preserve">Quaternary Research. </w:t>
      </w:r>
      <w:r>
        <w:rPr>
          <w:rFonts w:cs="Garamond" w:ascii="Garamond" w:hAnsi="Garamond"/>
          <w:sz w:val="22"/>
          <w:szCs w:val="22"/>
          <w:lang w:val="en-US"/>
        </w:rPr>
        <w:t>1991. 36. Pp. 257–276.</w:t>
      </w:r>
    </w:p>
    <w:p>
      <w:pPr>
        <w:pStyle w:val="Normal"/>
        <w:ind w:start="720" w:end="-31" w:hanging="720"/>
        <w:jc w:val="both"/>
        <w:rPr>
          <w:rFonts w:ascii="Garamond" w:hAnsi="Garamond" w:cs="Garamond"/>
          <w:sz w:val="22"/>
          <w:szCs w:val="22"/>
          <w:lang w:val="en-US"/>
        </w:rPr>
      </w:pPr>
      <w:r>
        <w:rPr>
          <w:rFonts w:cs="Garamond" w:ascii="Garamond" w:hAnsi="Garamond"/>
          <w:iCs/>
          <w:sz w:val="22"/>
          <w:szCs w:val="22"/>
          <w:lang w:val="en-US"/>
        </w:rPr>
        <w:t xml:space="preserve">Pachur H.-J., Kröpelin S. Wadi Howar: Paleoclimatic Evidence from an Extinct River System in the Southeastern Sahara. </w:t>
      </w:r>
      <w:r>
        <w:rPr>
          <w:rFonts w:cs="Garamond" w:ascii="Garamond" w:hAnsi="Garamond"/>
          <w:i/>
          <w:iCs/>
          <w:sz w:val="22"/>
          <w:szCs w:val="22"/>
          <w:lang w:val="en-US"/>
        </w:rPr>
        <w:t>Science</w:t>
      </w:r>
      <w:r>
        <w:rPr>
          <w:rFonts w:cs="Garamond" w:ascii="Garamond" w:hAnsi="Garamond"/>
          <w:iCs/>
          <w:sz w:val="22"/>
          <w:szCs w:val="22"/>
          <w:lang w:val="en-US"/>
        </w:rPr>
        <w:t>. 1987. 237. Pp. 298–300.</w:t>
      </w:r>
    </w:p>
    <w:p>
      <w:pPr>
        <w:pStyle w:val="Normal"/>
        <w:ind w:start="720" w:end="-31" w:hanging="720"/>
        <w:jc w:val="both"/>
        <w:rPr/>
      </w:pPr>
      <w:r>
        <w:rPr>
          <w:rFonts w:cs="Garamond" w:ascii="Garamond" w:hAnsi="Garamond"/>
          <w:sz w:val="22"/>
          <w:szCs w:val="22"/>
          <w:lang w:val="en-US"/>
        </w:rPr>
        <w:t xml:space="preserve">Petrie W. M. Flinders, Quibell J. E. </w:t>
      </w:r>
      <w:r>
        <w:rPr>
          <w:rFonts w:cs="Garamond" w:ascii="Garamond" w:hAnsi="Garamond"/>
          <w:i/>
          <w:sz w:val="22"/>
          <w:szCs w:val="22"/>
          <w:lang w:val="en-US"/>
        </w:rPr>
        <w:t>Naqada and Ballas. 1895.</w:t>
      </w:r>
      <w:r>
        <w:rPr>
          <w:rFonts w:cs="Garamond" w:ascii="Garamond" w:hAnsi="Garamond"/>
          <w:sz w:val="22"/>
          <w:szCs w:val="22"/>
          <w:lang w:val="en-US"/>
        </w:rPr>
        <w:t xml:space="preserve"> London, 1896.</w:t>
      </w:r>
    </w:p>
    <w:p>
      <w:pPr>
        <w:pStyle w:val="Normal"/>
        <w:ind w:start="720" w:end="-31" w:hanging="720"/>
        <w:jc w:val="both"/>
        <w:rPr/>
      </w:pPr>
      <w:r>
        <w:rPr>
          <w:rFonts w:cs="Garamond" w:ascii="Garamond" w:hAnsi="Garamond"/>
          <w:sz w:val="22"/>
          <w:szCs w:val="22"/>
          <w:lang w:val="en-US"/>
        </w:rPr>
        <w:t xml:space="preserve">Redford S., Redford D. B. Graffiti and Petroglyphs Old and New from the Eastern Desert. </w:t>
      </w:r>
      <w:r>
        <w:rPr>
          <w:rFonts w:cs="Garamond" w:ascii="Garamond" w:hAnsi="Garamond"/>
          <w:i/>
          <w:iCs/>
          <w:sz w:val="22"/>
          <w:szCs w:val="22"/>
          <w:lang w:val="en-US"/>
        </w:rPr>
        <w:t>Journal of the American Research Center in Egypt</w:t>
      </w:r>
      <w:r>
        <w:rPr>
          <w:rFonts w:cs="Garamond" w:ascii="Garamond" w:hAnsi="Garamond"/>
          <w:i/>
          <w:sz w:val="22"/>
          <w:szCs w:val="22"/>
          <w:lang w:val="en-US"/>
        </w:rPr>
        <w:t>.</w:t>
      </w:r>
      <w:r>
        <w:rPr>
          <w:rFonts w:cs="Garamond" w:ascii="Garamond" w:hAnsi="Garamond"/>
          <w:sz w:val="22"/>
          <w:szCs w:val="22"/>
          <w:lang w:val="en-US"/>
        </w:rPr>
        <w:t xml:space="preserve"> 1989. 26. Pp. 3–49.</w:t>
      </w:r>
    </w:p>
    <w:p>
      <w:pPr>
        <w:pStyle w:val="Normal"/>
        <w:ind w:start="720" w:end="-31" w:hanging="720"/>
        <w:jc w:val="both"/>
        <w:rPr/>
      </w:pPr>
      <w:r>
        <w:rPr>
          <w:rFonts w:cs="Garamond" w:ascii="Garamond" w:hAnsi="Garamond"/>
          <w:sz w:val="22"/>
          <w:szCs w:val="22"/>
          <w:lang w:val="en-US"/>
        </w:rPr>
        <w:t>Resch W. F.</w:t>
      </w:r>
      <w:r>
        <w:rPr>
          <w:rFonts w:cs="Garamond" w:ascii="Garamond" w:hAnsi="Garamond"/>
          <w:i/>
          <w:sz w:val="22"/>
          <w:szCs w:val="22"/>
          <w:lang w:val="en-US"/>
        </w:rPr>
        <w:t xml:space="preserve"> </w:t>
      </w:r>
      <w:r>
        <w:rPr>
          <w:rFonts w:cs="Garamond" w:ascii="Garamond" w:hAnsi="Garamond"/>
          <w:sz w:val="22"/>
          <w:szCs w:val="22"/>
          <w:lang w:val="en-US"/>
        </w:rPr>
        <w:t xml:space="preserve">Neue Felsbilderfunde in der ägyptische Ostwüste. </w:t>
      </w:r>
      <w:r>
        <w:rPr>
          <w:rFonts w:cs="Garamond" w:ascii="Garamond" w:hAnsi="Garamond"/>
          <w:i/>
          <w:sz w:val="22"/>
          <w:szCs w:val="22"/>
          <w:lang w:val="en-US"/>
        </w:rPr>
        <w:t>Zeitschrift für Ethnologie.</w:t>
      </w:r>
      <w:r>
        <w:rPr>
          <w:rFonts w:cs="Garamond" w:ascii="Garamond" w:hAnsi="Garamond"/>
          <w:sz w:val="22"/>
          <w:szCs w:val="22"/>
          <w:lang w:val="en-US"/>
        </w:rPr>
        <w:t xml:space="preserve"> 1963. 88. S. 86–97.</w:t>
      </w:r>
    </w:p>
    <w:p>
      <w:pPr>
        <w:pStyle w:val="Normal"/>
        <w:ind w:start="720" w:end="-31" w:hanging="720"/>
        <w:jc w:val="both"/>
        <w:rPr/>
      </w:pPr>
      <w:r>
        <w:rPr>
          <w:rFonts w:cs="Garamond" w:ascii="Garamond" w:hAnsi="Garamond"/>
          <w:sz w:val="22"/>
          <w:szCs w:val="22"/>
          <w:lang w:val="en-US"/>
        </w:rPr>
        <w:t xml:space="preserve">Riemer H., Förster F., Herb M., Pöllath N. (eds.). </w:t>
      </w:r>
      <w:r>
        <w:rPr>
          <w:rFonts w:cs="Garamond" w:ascii="Garamond" w:hAnsi="Garamond"/>
          <w:i/>
          <w:sz w:val="22"/>
          <w:szCs w:val="22"/>
          <w:lang w:val="en-US"/>
        </w:rPr>
        <w:t>Desert Animals in the Eastern Sahara: Status, Economic Significance, and Cultural Reflection in Antiquity</w:t>
      </w:r>
      <w:r>
        <w:rPr>
          <w:rFonts w:cs="Garamond" w:ascii="Garamond" w:hAnsi="Garamond"/>
          <w:sz w:val="22"/>
          <w:szCs w:val="22"/>
          <w:lang w:val="en-US"/>
        </w:rPr>
        <w:t>. Köln, 2009.</w:t>
      </w:r>
    </w:p>
    <w:p>
      <w:pPr>
        <w:pStyle w:val="Normal"/>
        <w:ind w:start="720" w:end="-31" w:hanging="720"/>
        <w:jc w:val="both"/>
        <w:rPr/>
      </w:pPr>
      <w:r>
        <w:rPr>
          <w:rFonts w:cs="Garamond" w:ascii="Garamond" w:hAnsi="Garamond"/>
          <w:sz w:val="22"/>
          <w:szCs w:val="22"/>
          <w:lang w:val="en-US"/>
        </w:rPr>
        <w:t xml:space="preserve">Rohl D. M. </w:t>
      </w:r>
      <w:r>
        <w:rPr>
          <w:rFonts w:cs="Garamond" w:ascii="Garamond" w:hAnsi="Garamond"/>
          <w:i/>
          <w:sz w:val="22"/>
          <w:szCs w:val="22"/>
          <w:lang w:val="en-US"/>
        </w:rPr>
        <w:t>Legend: The Genesis of Civilization.</w:t>
      </w:r>
      <w:r>
        <w:rPr>
          <w:rFonts w:cs="Garamond" w:ascii="Garamond" w:hAnsi="Garamond"/>
          <w:sz w:val="22"/>
          <w:szCs w:val="22"/>
          <w:lang w:val="en-US"/>
        </w:rPr>
        <w:t xml:space="preserve"> London, 1998.</w:t>
      </w:r>
    </w:p>
    <w:p>
      <w:pPr>
        <w:pStyle w:val="Normal"/>
        <w:ind w:start="720" w:end="-31" w:hanging="720"/>
        <w:jc w:val="both"/>
        <w:rPr>
          <w:rFonts w:ascii="Garamond" w:hAnsi="Garamond" w:cs="Garamond"/>
          <w:sz w:val="22"/>
          <w:szCs w:val="22"/>
          <w:lang w:val="en-US"/>
        </w:rPr>
      </w:pPr>
      <w:r>
        <w:rPr>
          <w:rFonts w:eastAsia="Arial Unicode MS" w:cs="Garamond" w:ascii="Garamond" w:hAnsi="Garamond"/>
          <w:sz w:val="22"/>
          <w:szCs w:val="22"/>
          <w:lang w:val="en-US"/>
        </w:rPr>
        <w:t xml:space="preserve">Rohl D. M. (ed.). </w:t>
      </w:r>
      <w:r>
        <w:rPr>
          <w:rFonts w:eastAsia="Arial Unicode MS" w:cs="Garamond" w:ascii="Garamond" w:hAnsi="Garamond"/>
          <w:i/>
          <w:sz w:val="22"/>
          <w:szCs w:val="22"/>
          <w:lang w:val="en-US"/>
        </w:rPr>
        <w:t>The Followers of Horus: Eastern Desert Survey Report</w:t>
      </w:r>
      <w:r>
        <w:rPr>
          <w:rFonts w:eastAsia="Arial Unicode MS" w:cs="Garamond" w:ascii="Garamond" w:hAnsi="Garamond"/>
          <w:sz w:val="22"/>
          <w:szCs w:val="22"/>
          <w:lang w:val="en-US"/>
        </w:rPr>
        <w:t>. Basingstoke, 2000.</w:t>
      </w:r>
    </w:p>
    <w:p>
      <w:pPr>
        <w:pStyle w:val="Normal"/>
        <w:ind w:start="720" w:end="-31" w:hanging="720"/>
        <w:jc w:val="both"/>
        <w:rPr/>
      </w:pPr>
      <w:r>
        <w:rPr>
          <w:rFonts w:cs="Garamond" w:ascii="Garamond" w:hAnsi="Garamond"/>
          <w:sz w:val="22"/>
          <w:szCs w:val="22"/>
          <w:lang w:val="en-US"/>
        </w:rPr>
        <w:t xml:space="preserve">Rothe R. D, Miller W. K, Rapp (Rip) G. </w:t>
      </w:r>
      <w:r>
        <w:rPr>
          <w:rFonts w:cs="Garamond" w:ascii="Garamond" w:hAnsi="Garamond"/>
          <w:i/>
          <w:iCs/>
          <w:sz w:val="22"/>
          <w:szCs w:val="22"/>
          <w:lang w:val="en-US"/>
        </w:rPr>
        <w:t>Pharaonic Inscriptions from the Southern Eastern Desert of Egypt</w:t>
      </w:r>
      <w:r>
        <w:rPr>
          <w:rFonts w:cs="Garamond" w:ascii="Garamond" w:hAnsi="Garamond"/>
          <w:sz w:val="22"/>
          <w:szCs w:val="22"/>
          <w:lang w:val="en-US"/>
        </w:rPr>
        <w:t>. Winona Lake, 2008.</w:t>
      </w:r>
    </w:p>
    <w:p>
      <w:pPr>
        <w:pStyle w:val="Normal"/>
        <w:ind w:start="720" w:end="-31" w:hanging="720"/>
        <w:jc w:val="both"/>
        <w:rPr/>
      </w:pPr>
      <w:r>
        <w:rPr>
          <w:rFonts w:cs="Garamond" w:ascii="Garamond" w:hAnsi="Garamond"/>
          <w:sz w:val="22"/>
          <w:szCs w:val="22"/>
          <w:lang w:val="en-US"/>
        </w:rPr>
        <w:t xml:space="preserve">Sarnthein M. Sand Deserts during Glacial Maximum and Climatic Optimum. </w:t>
      </w:r>
      <w:r>
        <w:rPr>
          <w:rFonts w:cs="Garamond" w:ascii="Garamond" w:hAnsi="Garamond"/>
          <w:i/>
          <w:sz w:val="22"/>
          <w:szCs w:val="22"/>
          <w:lang w:val="en-US"/>
        </w:rPr>
        <w:t>Nature.</w:t>
      </w:r>
      <w:r>
        <w:rPr>
          <w:rFonts w:cs="Garamond" w:ascii="Garamond" w:hAnsi="Garamond"/>
          <w:sz w:val="22"/>
          <w:szCs w:val="22"/>
          <w:lang w:val="en-US"/>
        </w:rPr>
        <w:t xml:space="preserve"> 1978. 272. Pp. 43–46.</w:t>
      </w:r>
    </w:p>
    <w:p>
      <w:pPr>
        <w:pStyle w:val="Normal"/>
        <w:ind w:start="720" w:end="-31" w:hanging="720"/>
        <w:jc w:val="both"/>
        <w:rPr/>
      </w:pPr>
      <w:r>
        <w:rPr>
          <w:rFonts w:cs="Garamond" w:ascii="Garamond" w:hAnsi="Garamond"/>
          <w:sz w:val="22"/>
          <w:szCs w:val="22"/>
          <w:lang w:val="en-US"/>
        </w:rPr>
        <w:t xml:space="preserve">Storemyr P. A Prehistoric Geometric Rock Art Landscape by the First Nile Cataract. </w:t>
      </w:r>
      <w:r>
        <w:rPr>
          <w:rFonts w:cs="Garamond" w:ascii="Garamond" w:hAnsi="Garamond"/>
          <w:i/>
          <w:iCs/>
          <w:sz w:val="22"/>
          <w:szCs w:val="22"/>
          <w:lang w:val="en-US"/>
        </w:rPr>
        <w:t>Archéo-Nil</w:t>
      </w:r>
      <w:r>
        <w:rPr>
          <w:rFonts w:cs="Garamond" w:ascii="Garamond" w:hAnsi="Garamond"/>
          <w:sz w:val="22"/>
          <w:szCs w:val="22"/>
          <w:lang w:val="en-US"/>
        </w:rPr>
        <w:t>. 2009. 19. Pp. 121–150.</w:t>
      </w:r>
    </w:p>
    <w:p>
      <w:pPr>
        <w:pStyle w:val="Normal"/>
        <w:ind w:start="720" w:end="-31" w:hanging="720"/>
        <w:jc w:val="both"/>
        <w:rPr/>
      </w:pPr>
      <w:r>
        <w:rPr>
          <w:rFonts w:cs="Garamond" w:ascii="Garamond" w:hAnsi="Garamond"/>
          <w:iCs/>
          <w:sz w:val="22"/>
          <w:szCs w:val="22"/>
          <w:lang w:val="en-US"/>
        </w:rPr>
        <w:t xml:space="preserve">Talbot M. R., Williams M. A. J., Adamson D. </w:t>
      </w:r>
      <w:r>
        <w:rPr>
          <w:rFonts w:cs="Garamond" w:ascii="Garamond" w:hAnsi="Garamond"/>
          <w:iCs/>
          <w:sz w:val="22"/>
          <w:szCs w:val="22"/>
        </w:rPr>
        <w:t>А</w:t>
      </w:r>
      <w:r>
        <w:rPr>
          <w:rFonts w:cs="Garamond" w:ascii="Garamond" w:hAnsi="Garamond"/>
          <w:sz w:val="22"/>
          <w:szCs w:val="22"/>
          <w:lang w:val="en-US"/>
        </w:rPr>
        <w:t xml:space="preserve">. Strontium Isotope Evidence for Late Pleistocene Re-Establishment of an Integrated Nile Drainage Network. </w:t>
      </w:r>
      <w:r>
        <w:rPr>
          <w:rFonts w:cs="Garamond" w:ascii="Garamond" w:hAnsi="Garamond"/>
          <w:i/>
          <w:sz w:val="22"/>
          <w:szCs w:val="22"/>
          <w:lang w:val="en-US"/>
        </w:rPr>
        <w:t>Geology</w:t>
      </w:r>
      <w:r>
        <w:rPr>
          <w:rFonts w:cs="Garamond" w:ascii="Garamond" w:hAnsi="Garamond"/>
          <w:sz w:val="22"/>
          <w:szCs w:val="22"/>
          <w:lang w:val="en-US"/>
        </w:rPr>
        <w:t>. 2000. 28. Pp. 343–346.</w:t>
      </w:r>
    </w:p>
    <w:p>
      <w:pPr>
        <w:pStyle w:val="Normal"/>
        <w:ind w:start="720" w:end="-31" w:hanging="720"/>
        <w:jc w:val="both"/>
        <w:rPr/>
      </w:pPr>
      <w:r>
        <w:rPr>
          <w:rFonts w:cs="Garamond" w:ascii="Garamond" w:hAnsi="Garamond"/>
          <w:sz w:val="22"/>
          <w:szCs w:val="22"/>
          <w:lang w:val="fr-FR"/>
        </w:rPr>
        <w:t xml:space="preserve">Vandersleyen C. Une tempête sous le règne d’Amosis. </w:t>
      </w:r>
      <w:r>
        <w:rPr>
          <w:rFonts w:cs="Garamond" w:ascii="Garamond" w:hAnsi="Garamond"/>
          <w:i/>
          <w:iCs/>
          <w:sz w:val="22"/>
          <w:szCs w:val="22"/>
          <w:lang w:val="en-US"/>
        </w:rPr>
        <w:t>Revue d’</w:t>
      </w:r>
      <w:r>
        <w:rPr>
          <w:rFonts w:cs="Garamond" w:ascii="Garamond" w:hAnsi="Garamond"/>
          <w:i/>
          <w:iCs/>
          <w:sz w:val="22"/>
          <w:szCs w:val="22"/>
        </w:rPr>
        <w:t>é</w:t>
      </w:r>
      <w:r>
        <w:rPr>
          <w:rFonts w:cs="Garamond" w:ascii="Garamond" w:hAnsi="Garamond"/>
          <w:i/>
          <w:iCs/>
          <w:sz w:val="22"/>
          <w:szCs w:val="22"/>
          <w:lang w:val="en-US"/>
        </w:rPr>
        <w:t>gyptologie</w:t>
      </w:r>
      <w:r>
        <w:rPr>
          <w:rFonts w:cs="Garamond" w:ascii="Garamond" w:hAnsi="Garamond"/>
          <w:i/>
          <w:sz w:val="22"/>
          <w:szCs w:val="22"/>
          <w:lang w:val="en-US"/>
        </w:rPr>
        <w:t>.</w:t>
      </w:r>
      <w:r>
        <w:rPr>
          <w:rFonts w:cs="Garamond" w:ascii="Garamond" w:hAnsi="Garamond"/>
          <w:sz w:val="22"/>
          <w:szCs w:val="22"/>
          <w:lang w:val="en-US"/>
        </w:rPr>
        <w:t xml:space="preserve"> 1967. 19. Pp. 123–159.</w:t>
      </w:r>
    </w:p>
    <w:p>
      <w:pPr>
        <w:pStyle w:val="Normal"/>
        <w:ind w:start="720" w:end="-31" w:hanging="720"/>
        <w:jc w:val="both"/>
        <w:rPr/>
      </w:pPr>
      <w:r>
        <w:rPr>
          <w:rFonts w:cs="Garamond" w:ascii="Garamond" w:hAnsi="Garamond"/>
          <w:sz w:val="22"/>
          <w:szCs w:val="22"/>
          <w:lang w:val="en-US"/>
        </w:rPr>
        <w:t xml:space="preserve">Vinson S. M. </w:t>
      </w:r>
      <w:r>
        <w:rPr>
          <w:rFonts w:cs="Garamond" w:ascii="Garamond" w:hAnsi="Garamond"/>
          <w:i/>
          <w:sz w:val="22"/>
          <w:szCs w:val="22"/>
          <w:lang w:val="en-US"/>
        </w:rPr>
        <w:t>Egyptian Boats and Ships</w:t>
      </w:r>
      <w:r>
        <w:rPr>
          <w:rFonts w:cs="Garamond" w:ascii="Garamond" w:hAnsi="Garamond"/>
          <w:sz w:val="22"/>
          <w:szCs w:val="22"/>
          <w:lang w:val="en-US"/>
        </w:rPr>
        <w:t>. Princes Risborough, 1994.</w:t>
      </w:r>
    </w:p>
    <w:p>
      <w:pPr>
        <w:pStyle w:val="Normal"/>
        <w:ind w:start="720" w:end="-31" w:hanging="720"/>
        <w:jc w:val="both"/>
        <w:rPr/>
      </w:pPr>
      <w:r>
        <w:rPr>
          <w:rFonts w:cs="Garamond" w:ascii="Garamond" w:hAnsi="Garamond"/>
          <w:sz w:val="22"/>
          <w:szCs w:val="22"/>
          <w:lang w:val="en-US"/>
        </w:rPr>
        <w:t xml:space="preserve">Weigall A. E. P. </w:t>
      </w:r>
      <w:r>
        <w:rPr>
          <w:rFonts w:cs="Garamond" w:ascii="Garamond" w:hAnsi="Garamond"/>
          <w:i/>
          <w:sz w:val="22"/>
          <w:szCs w:val="22"/>
          <w:lang w:val="en-US"/>
        </w:rPr>
        <w:t>Travels in the Upper Egyptian Deserts.</w:t>
      </w:r>
      <w:r>
        <w:rPr>
          <w:rFonts w:cs="Garamond" w:ascii="Garamond" w:hAnsi="Garamond"/>
          <w:sz w:val="22"/>
          <w:szCs w:val="22"/>
          <w:lang w:val="en-US"/>
        </w:rPr>
        <w:t xml:space="preserve"> London, 1909.</w:t>
      </w:r>
    </w:p>
    <w:p>
      <w:pPr>
        <w:pStyle w:val="Normal"/>
        <w:ind w:start="720" w:end="-31" w:hanging="720"/>
        <w:jc w:val="both"/>
        <w:rPr/>
      </w:pPr>
      <w:r>
        <w:rPr>
          <w:rFonts w:cs="Garamond" w:ascii="Garamond" w:hAnsi="Garamond"/>
          <w:sz w:val="22"/>
          <w:szCs w:val="22"/>
          <w:lang w:val="en-US"/>
        </w:rPr>
        <w:t xml:space="preserve">Weeks K. R. The Work of the Theban Mapping Project and the Protection of the Valley of the Kings. Wilkinson R. H. (ed.). </w:t>
      </w:r>
      <w:r>
        <w:rPr>
          <w:rFonts w:cs="Garamond" w:ascii="Garamond" w:hAnsi="Garamond"/>
          <w:i/>
          <w:sz w:val="22"/>
          <w:szCs w:val="22"/>
          <w:lang w:val="en-US"/>
        </w:rPr>
        <w:t>Valley of the Sun Kings. New Explorations in the Tombs of the Pharaohs.</w:t>
      </w:r>
      <w:r>
        <w:rPr>
          <w:rFonts w:cs="Garamond" w:ascii="Garamond" w:hAnsi="Garamond"/>
          <w:sz w:val="22"/>
          <w:szCs w:val="22"/>
          <w:lang w:val="en-US"/>
        </w:rPr>
        <w:t xml:space="preserve"> Tucson, 1995. Pp. 122–128.</w:t>
      </w:r>
    </w:p>
    <w:p>
      <w:pPr>
        <w:pStyle w:val="Normal"/>
        <w:ind w:start="720" w:end="-31" w:hanging="720"/>
        <w:jc w:val="both"/>
        <w:rPr/>
      </w:pPr>
      <w:r>
        <w:rPr>
          <w:rFonts w:cs="Garamond" w:ascii="Garamond" w:hAnsi="Garamond"/>
          <w:sz w:val="22"/>
          <w:szCs w:val="22"/>
          <w:lang w:val="en-US"/>
        </w:rPr>
        <w:t xml:space="preserve">Wengrow D. On Desert Origins for the Ancient Egyptians. </w:t>
      </w:r>
      <w:r>
        <w:rPr>
          <w:rFonts w:cs="Garamond" w:ascii="Garamond" w:hAnsi="Garamond"/>
          <w:i/>
          <w:iCs/>
          <w:sz w:val="22"/>
          <w:szCs w:val="22"/>
          <w:lang w:val="en-US"/>
        </w:rPr>
        <w:t>Antiquity</w:t>
      </w:r>
      <w:r>
        <w:rPr>
          <w:rFonts w:cs="Garamond" w:ascii="Garamond" w:hAnsi="Garamond"/>
          <w:i/>
          <w:sz w:val="22"/>
          <w:szCs w:val="22"/>
          <w:lang w:val="en-US"/>
        </w:rPr>
        <w:t>.</w:t>
      </w:r>
      <w:r>
        <w:rPr>
          <w:rFonts w:cs="Garamond" w:ascii="Garamond" w:hAnsi="Garamond"/>
          <w:sz w:val="22"/>
          <w:szCs w:val="22"/>
          <w:lang w:val="en-US"/>
        </w:rPr>
        <w:t xml:space="preserve"> 2003. 77. Pp. 597–601.</w:t>
      </w:r>
    </w:p>
    <w:p>
      <w:pPr>
        <w:pStyle w:val="Normal"/>
        <w:ind w:start="720" w:end="-31" w:hanging="720"/>
        <w:jc w:val="both"/>
        <w:rPr/>
      </w:pPr>
      <w:r>
        <w:rPr>
          <w:rFonts w:cs="Garamond" w:ascii="Garamond" w:hAnsi="Garamond"/>
          <w:sz w:val="22"/>
          <w:szCs w:val="22"/>
          <w:lang w:val="en-US"/>
        </w:rPr>
        <w:t xml:space="preserve">Wengrow D. </w:t>
      </w:r>
      <w:r>
        <w:rPr>
          <w:rFonts w:cs="Garamond" w:ascii="Garamond" w:hAnsi="Garamond"/>
          <w:i/>
          <w:sz w:val="22"/>
          <w:szCs w:val="22"/>
          <w:lang w:val="en-US"/>
        </w:rPr>
        <w:t>The Archaeology of Early Egypt: Social Transformations in North-East Africa, 10,000 to 2650 BC.</w:t>
      </w:r>
      <w:r>
        <w:rPr>
          <w:rFonts w:cs="Garamond" w:ascii="Garamond" w:hAnsi="Garamond"/>
          <w:sz w:val="22"/>
          <w:szCs w:val="22"/>
          <w:lang w:val="en-US"/>
        </w:rPr>
        <w:t xml:space="preserve"> Cambridge, 2006.</w:t>
      </w:r>
    </w:p>
    <w:p>
      <w:pPr>
        <w:pStyle w:val="Normal"/>
        <w:ind w:start="720" w:end="-31" w:hanging="720"/>
        <w:jc w:val="both"/>
        <w:rPr/>
      </w:pPr>
      <w:r>
        <w:rPr>
          <w:rFonts w:cs="Garamond" w:ascii="Garamond" w:hAnsi="Garamond"/>
          <w:sz w:val="22"/>
          <w:szCs w:val="22"/>
          <w:lang w:val="en-US"/>
        </w:rPr>
        <w:t xml:space="preserve">Wengrow D. </w:t>
      </w:r>
      <w:r>
        <w:rPr>
          <w:rFonts w:cs="Garamond" w:ascii="Garamond" w:hAnsi="Garamond"/>
          <w:i/>
          <w:sz w:val="22"/>
          <w:szCs w:val="22"/>
          <w:lang w:val="en-US"/>
        </w:rPr>
        <w:t>What Makes Civilization? The Ancient Near East and the Future of the West.</w:t>
      </w:r>
      <w:r>
        <w:rPr>
          <w:rFonts w:cs="Garamond" w:ascii="Garamond" w:hAnsi="Garamond"/>
          <w:sz w:val="22"/>
          <w:szCs w:val="22"/>
          <w:lang w:val="en-US"/>
        </w:rPr>
        <w:t xml:space="preserve"> </w:t>
      </w:r>
      <w:r>
        <w:rPr>
          <w:rFonts w:cs="Garamond" w:ascii="Garamond" w:hAnsi="Garamond"/>
          <w:sz w:val="22"/>
          <w:szCs w:val="22"/>
          <w:lang w:val="fr-FR"/>
        </w:rPr>
        <w:t>Oxford, 2010.</w:t>
      </w:r>
    </w:p>
    <w:p>
      <w:pPr>
        <w:pStyle w:val="Normal"/>
        <w:ind w:start="720" w:end="-31" w:hanging="720"/>
        <w:jc w:val="both"/>
        <w:rPr/>
      </w:pPr>
      <w:r>
        <w:rPr>
          <w:rFonts w:cs="Garamond" w:ascii="Garamond" w:hAnsi="Garamond"/>
          <w:sz w:val="22"/>
          <w:szCs w:val="22"/>
          <w:lang w:val="fr-FR"/>
        </w:rPr>
        <w:t xml:space="preserve">Wild H. </w:t>
      </w:r>
      <w:r>
        <w:rPr>
          <w:rFonts w:cs="Garamond" w:ascii="Garamond" w:hAnsi="Garamond"/>
          <w:i/>
          <w:sz w:val="22"/>
          <w:szCs w:val="22"/>
          <w:lang w:val="fr-FR"/>
        </w:rPr>
        <w:t xml:space="preserve">Le tombeau de Ti. </w:t>
      </w:r>
      <w:r>
        <w:rPr>
          <w:rFonts w:cs="Garamond" w:ascii="Garamond" w:hAnsi="Garamond"/>
          <w:sz w:val="22"/>
          <w:szCs w:val="22"/>
          <w:lang w:val="fr-FR"/>
        </w:rPr>
        <w:t>Fasc. II.</w:t>
      </w:r>
      <w:r>
        <w:rPr>
          <w:rFonts w:cs="Garamond" w:ascii="Garamond" w:hAnsi="Garamond"/>
          <w:i/>
          <w:sz w:val="22"/>
          <w:szCs w:val="22"/>
          <w:lang w:val="fr-FR"/>
        </w:rPr>
        <w:t xml:space="preserve"> La chapelle (première partie).</w:t>
      </w:r>
      <w:r>
        <w:rPr>
          <w:rFonts w:cs="Garamond" w:ascii="Garamond" w:hAnsi="Garamond"/>
          <w:sz w:val="22"/>
          <w:szCs w:val="22"/>
          <w:lang w:val="fr-FR"/>
        </w:rPr>
        <w:t xml:space="preserve"> </w:t>
      </w:r>
      <w:r>
        <w:rPr>
          <w:rFonts w:cs="Garamond" w:ascii="Garamond" w:hAnsi="Garamond"/>
          <w:sz w:val="22"/>
          <w:szCs w:val="22"/>
          <w:lang w:val="en-US"/>
        </w:rPr>
        <w:t>Le Caire, 1953.</w:t>
      </w:r>
    </w:p>
    <w:p>
      <w:pPr>
        <w:pStyle w:val="Normal"/>
        <w:ind w:start="720" w:end="-31" w:hanging="720"/>
        <w:jc w:val="both"/>
        <w:rPr/>
      </w:pPr>
      <w:r>
        <w:rPr>
          <w:rFonts w:cs="Garamond" w:ascii="Garamond" w:hAnsi="Garamond"/>
          <w:sz w:val="22"/>
          <w:szCs w:val="22"/>
          <w:lang w:val="en-US"/>
        </w:rPr>
        <w:t xml:space="preserve">Wilkinson T. A. H. </w:t>
      </w:r>
      <w:r>
        <w:rPr>
          <w:rFonts w:cs="Garamond" w:ascii="Garamond" w:hAnsi="Garamond"/>
          <w:i/>
          <w:sz w:val="22"/>
          <w:szCs w:val="22"/>
          <w:lang w:val="en-US"/>
        </w:rPr>
        <w:t>State Formation in Egypt: Chronology and Society.</w:t>
      </w:r>
      <w:r>
        <w:rPr>
          <w:rFonts w:cs="Garamond" w:ascii="Garamond" w:hAnsi="Garamond"/>
          <w:sz w:val="22"/>
          <w:szCs w:val="22"/>
          <w:lang w:val="en-US"/>
        </w:rPr>
        <w:t xml:space="preserve"> Oxford, 1996.</w:t>
      </w:r>
    </w:p>
    <w:p>
      <w:pPr>
        <w:pStyle w:val="Normal"/>
        <w:ind w:start="720" w:end="-31" w:hanging="720"/>
        <w:jc w:val="both"/>
        <w:rPr/>
      </w:pPr>
      <w:r>
        <w:rPr>
          <w:rFonts w:cs="Garamond" w:ascii="Garamond" w:hAnsi="Garamond"/>
          <w:sz w:val="22"/>
          <w:szCs w:val="22"/>
          <w:lang w:val="en-US"/>
        </w:rPr>
        <w:t xml:space="preserve">Wilkinson T. A. H. </w:t>
      </w:r>
      <w:r>
        <w:rPr>
          <w:rFonts w:cs="Garamond" w:ascii="Garamond" w:hAnsi="Garamond"/>
          <w:i/>
          <w:sz w:val="22"/>
          <w:szCs w:val="22"/>
          <w:lang w:val="en-US"/>
        </w:rPr>
        <w:t>Early Dynastic Egypt.</w:t>
      </w:r>
      <w:r>
        <w:rPr>
          <w:rFonts w:cs="Garamond" w:ascii="Garamond" w:hAnsi="Garamond"/>
          <w:sz w:val="22"/>
          <w:szCs w:val="22"/>
          <w:lang w:val="en-US"/>
        </w:rPr>
        <w:t xml:space="preserve"> London, 1999.</w:t>
      </w:r>
    </w:p>
    <w:p>
      <w:pPr>
        <w:pStyle w:val="Normal"/>
        <w:ind w:start="720" w:end="-31" w:hanging="720"/>
        <w:jc w:val="both"/>
        <w:rPr/>
      </w:pPr>
      <w:r>
        <w:rPr>
          <w:rFonts w:cs="Garamond" w:ascii="Garamond" w:hAnsi="Garamond"/>
          <w:sz w:val="22"/>
          <w:szCs w:val="22"/>
          <w:lang w:val="en-US"/>
        </w:rPr>
        <w:t xml:space="preserve">Wilkinson T. A. H. </w:t>
      </w:r>
      <w:r>
        <w:rPr>
          <w:rFonts w:cs="Garamond" w:ascii="Garamond" w:hAnsi="Garamond"/>
          <w:i/>
          <w:sz w:val="22"/>
          <w:szCs w:val="22"/>
          <w:lang w:val="en-US"/>
        </w:rPr>
        <w:t>Royal Annals of Ancient Egypt: The Palermo Stone and Its Associated Fragments</w:t>
      </w:r>
      <w:r>
        <w:rPr>
          <w:rFonts w:cs="Garamond" w:ascii="Garamond" w:hAnsi="Garamond"/>
          <w:sz w:val="22"/>
          <w:szCs w:val="22"/>
          <w:lang w:val="en-US"/>
        </w:rPr>
        <w:t>. London, New York, 2000.</w:t>
      </w:r>
    </w:p>
    <w:p>
      <w:pPr>
        <w:pStyle w:val="Normal"/>
        <w:ind w:start="720" w:end="-31" w:hanging="720"/>
        <w:jc w:val="both"/>
        <w:rPr/>
      </w:pPr>
      <w:r>
        <w:rPr>
          <w:rFonts w:cs="Garamond" w:ascii="Garamond" w:hAnsi="Garamond"/>
          <w:sz w:val="22"/>
          <w:szCs w:val="22"/>
          <w:lang w:val="en-US"/>
        </w:rPr>
        <w:t xml:space="preserve">Wilkinson T. A. H. </w:t>
      </w:r>
      <w:r>
        <w:rPr>
          <w:rFonts w:cs="Garamond" w:ascii="Garamond" w:hAnsi="Garamond"/>
          <w:i/>
          <w:sz w:val="22"/>
          <w:szCs w:val="22"/>
          <w:lang w:val="en-US"/>
        </w:rPr>
        <w:t>Genesis of the Pharaohs: Dramatic New Discoveries Rewrite the Origins of Ancient Egypt.</w:t>
      </w:r>
      <w:r>
        <w:rPr>
          <w:rFonts w:cs="Garamond" w:ascii="Garamond" w:hAnsi="Garamond"/>
          <w:sz w:val="22"/>
          <w:szCs w:val="22"/>
          <w:lang w:val="en-US"/>
        </w:rPr>
        <w:t xml:space="preserve"> London, 2003.</w:t>
      </w:r>
    </w:p>
    <w:p>
      <w:pPr>
        <w:pStyle w:val="Normal"/>
        <w:ind w:start="720" w:end="-31" w:hanging="720"/>
        <w:jc w:val="both"/>
        <w:rPr/>
      </w:pPr>
      <w:r>
        <w:rPr>
          <w:rFonts w:cs="Garamond" w:ascii="Garamond" w:hAnsi="Garamond"/>
          <w:sz w:val="22"/>
          <w:szCs w:val="22"/>
          <w:lang w:val="en-US"/>
        </w:rPr>
        <w:t xml:space="preserve">Williams M. A. J., Talbot M. R., Aharon P., Salaam Y. A., Williams F. M., Brendeland K. I. Abrupt Return of the Summer Monsoon 15,000 Years Ago: New Supporting Evidence from the Lower White Nile Valley and Lake Albert. </w:t>
      </w:r>
      <w:r>
        <w:rPr>
          <w:rFonts w:cs="Garamond" w:ascii="Garamond" w:hAnsi="Garamond"/>
          <w:i/>
          <w:iCs/>
          <w:sz w:val="22"/>
          <w:szCs w:val="22"/>
          <w:lang w:val="en-US"/>
        </w:rPr>
        <w:t>Quaternary Science Reviews</w:t>
      </w:r>
      <w:r>
        <w:rPr>
          <w:rFonts w:cs="Garamond" w:ascii="Garamond" w:hAnsi="Garamond"/>
          <w:sz w:val="22"/>
          <w:szCs w:val="22"/>
          <w:lang w:val="en-US"/>
        </w:rPr>
        <w:t>. 2006. 25. Pp. 2651–2665.</w:t>
      </w:r>
    </w:p>
    <w:p>
      <w:pPr>
        <w:pStyle w:val="Normal"/>
        <w:ind w:start="720" w:end="-31" w:hanging="720"/>
        <w:jc w:val="both"/>
        <w:rPr/>
      </w:pPr>
      <w:r>
        <w:rPr>
          <w:rFonts w:cs="Garamond" w:ascii="Garamond" w:hAnsi="Garamond"/>
          <w:sz w:val="22"/>
          <w:szCs w:val="22"/>
          <w:lang w:val="en-US"/>
        </w:rPr>
        <w:t xml:space="preserve">Williams M. A. J., Williams F. M., Duller G. A. T., Munro R. N., El Tom O. A. M., Barrows T. T., Macklin M., Woodward J., Talbot M. R., Haberlah D., Fluin J. Late Quaternary Floods and Droughts in the Nile Valley, Sudan: New Evidence from Optically Stimulated Luminescence and AMS Radiocarbon Dating. </w:t>
      </w:r>
      <w:r>
        <w:rPr>
          <w:rFonts w:cs="Garamond" w:ascii="Garamond" w:hAnsi="Garamond"/>
          <w:i/>
          <w:sz w:val="22"/>
          <w:szCs w:val="22"/>
          <w:lang w:val="en-US"/>
        </w:rPr>
        <w:t>Quaternary Science Reviews.</w:t>
      </w:r>
      <w:r>
        <w:rPr>
          <w:rFonts w:cs="Garamond" w:ascii="Garamond" w:hAnsi="Garamond"/>
          <w:sz w:val="22"/>
          <w:szCs w:val="22"/>
          <w:lang w:val="en-US"/>
        </w:rPr>
        <w:t xml:space="preserve"> 2010. 29. Pp. 1116–1137.</w:t>
      </w:r>
    </w:p>
    <w:p>
      <w:pPr>
        <w:pStyle w:val="Normal"/>
        <w:ind w:start="720" w:end="-31" w:hanging="720"/>
        <w:jc w:val="both"/>
        <w:rPr/>
      </w:pPr>
      <w:r>
        <w:rPr>
          <w:rFonts w:cs="Garamond" w:ascii="Garamond" w:hAnsi="Garamond"/>
          <w:sz w:val="22"/>
          <w:szCs w:val="22"/>
          <w:lang w:val="en-US"/>
        </w:rPr>
        <w:t xml:space="preserve">Wilson P. </w:t>
      </w:r>
      <w:r>
        <w:rPr>
          <w:rFonts w:cs="Garamond" w:ascii="Garamond" w:hAnsi="Garamond"/>
          <w:i/>
          <w:iCs/>
          <w:sz w:val="22"/>
          <w:szCs w:val="22"/>
          <w:lang w:val="en-US"/>
        </w:rPr>
        <w:t>Sacred Signs: Hieroglyphs in Ancient Egypt</w:t>
      </w:r>
      <w:r>
        <w:rPr>
          <w:rFonts w:cs="Garamond" w:ascii="Garamond" w:hAnsi="Garamond"/>
          <w:sz w:val="22"/>
          <w:szCs w:val="22"/>
          <w:lang w:val="en-US"/>
        </w:rPr>
        <w:t>. Oxford, 2003.</w:t>
      </w:r>
    </w:p>
    <w:p>
      <w:pPr>
        <w:pStyle w:val="Normal"/>
        <w:ind w:start="720" w:end="-31" w:hanging="720"/>
        <w:jc w:val="both"/>
        <w:rPr/>
      </w:pPr>
      <w:r>
        <w:rPr>
          <w:rFonts w:cs="Garamond" w:ascii="Garamond" w:hAnsi="Garamond"/>
          <w:sz w:val="22"/>
          <w:szCs w:val="22"/>
          <w:lang w:val="en-US"/>
        </w:rPr>
        <w:t xml:space="preserve">Winkler H. A. Felsbilder und Inschriften aus der Ostwüste Oberägyptens. </w:t>
      </w:r>
      <w:r>
        <w:rPr>
          <w:rFonts w:cs="Garamond" w:ascii="Garamond" w:hAnsi="Garamond"/>
          <w:i/>
          <w:sz w:val="22"/>
          <w:szCs w:val="22"/>
          <w:lang w:val="en-US"/>
        </w:rPr>
        <w:t>Forschungen und Fortschritte: Nachrichtenblatt der deutschen Wissenschaft und Technik</w:t>
      </w:r>
      <w:r>
        <w:rPr>
          <w:rFonts w:cs="Garamond" w:ascii="Garamond" w:hAnsi="Garamond"/>
          <w:sz w:val="22"/>
          <w:szCs w:val="22"/>
          <w:lang w:val="en-US"/>
        </w:rPr>
        <w:t>. 1936. 12. S. 237–238.</w:t>
      </w:r>
    </w:p>
    <w:p>
      <w:pPr>
        <w:pStyle w:val="Normal"/>
        <w:ind w:start="720" w:end="-31" w:hanging="720"/>
        <w:jc w:val="both"/>
        <w:rPr/>
      </w:pPr>
      <w:r>
        <w:rPr>
          <w:rFonts w:cs="Garamond" w:ascii="Garamond" w:hAnsi="Garamond"/>
          <w:sz w:val="22"/>
          <w:szCs w:val="22"/>
          <w:lang w:val="en-US"/>
        </w:rPr>
        <w:t xml:space="preserve">Winkler H. A. </w:t>
      </w:r>
      <w:r>
        <w:rPr>
          <w:rFonts w:cs="Garamond" w:ascii="Garamond" w:hAnsi="Garamond"/>
          <w:i/>
          <w:sz w:val="22"/>
          <w:szCs w:val="22"/>
          <w:lang w:val="en-US"/>
        </w:rPr>
        <w:t xml:space="preserve">Rock-Drawings of Southern Upper Egypt: Sir Robert Mond Desert Expedition, Preliminary Report. </w:t>
      </w:r>
      <w:r>
        <w:rPr>
          <w:rFonts w:cs="Garamond" w:ascii="Garamond" w:hAnsi="Garamond"/>
          <w:sz w:val="22"/>
          <w:szCs w:val="22"/>
          <w:lang w:val="en-US"/>
        </w:rPr>
        <w:t>Pt. 1–2. London, 1938–1939.</w:t>
      </w:r>
    </w:p>
    <w:p>
      <w:pPr>
        <w:pStyle w:val="Normal"/>
        <w:ind w:start="720" w:end="-31" w:hanging="720"/>
        <w:jc w:val="both"/>
        <w:rPr/>
      </w:pPr>
      <w:r>
        <w:rPr>
          <w:rFonts w:cs="Garamond" w:ascii="Garamond" w:hAnsi="Garamond"/>
          <w:sz w:val="22"/>
          <w:szCs w:val="22"/>
          <w:lang w:val="en-US"/>
        </w:rPr>
        <w:t xml:space="preserve">Woodward J., Macklin M., Fielding L., Millar I., Spencer N., Welsby D., Williams M. A. J. Shifting Sediment Sources in the World’s Longest River: A Strontium Isotope Record for the Holocene Nile. </w:t>
      </w:r>
      <w:r>
        <w:rPr>
          <w:rFonts w:cs="Garamond" w:ascii="Garamond" w:hAnsi="Garamond"/>
          <w:i/>
          <w:sz w:val="22"/>
          <w:szCs w:val="22"/>
          <w:lang w:val="en-US"/>
        </w:rPr>
        <w:t>Quaternary Science Reviews.</w:t>
      </w:r>
      <w:r>
        <w:rPr>
          <w:rFonts w:cs="Garamond" w:ascii="Garamond" w:hAnsi="Garamond"/>
          <w:sz w:val="22"/>
          <w:szCs w:val="22"/>
          <w:lang w:val="en-US"/>
        </w:rPr>
        <w:t xml:space="preserve"> 2015. 130. Pp. 124–140.</w:t>
      </w:r>
    </w:p>
    <w:p>
      <w:pPr>
        <w:pStyle w:val="Normal"/>
        <w:ind w:start="720" w:end="-31" w:hanging="720"/>
        <w:jc w:val="both"/>
        <w:rPr/>
      </w:pPr>
      <w:r>
        <w:rPr>
          <w:rFonts w:cs="Garamond" w:ascii="Garamond" w:hAnsi="Garamond"/>
          <w:sz w:val="22"/>
          <w:szCs w:val="22"/>
          <w:lang w:val="en-US"/>
        </w:rPr>
        <w:t xml:space="preserve">Zahran M. A., Willis A. J. </w:t>
      </w:r>
      <w:r>
        <w:rPr>
          <w:rFonts w:cs="Garamond" w:ascii="Garamond" w:hAnsi="Garamond"/>
          <w:i/>
          <w:sz w:val="22"/>
          <w:szCs w:val="22"/>
          <w:lang w:val="en-US"/>
        </w:rPr>
        <w:t>The Vegetation of Egypt</w:t>
      </w:r>
      <w:r>
        <w:rPr>
          <w:rFonts w:cs="Garamond" w:ascii="Garamond" w:hAnsi="Garamond"/>
          <w:sz w:val="22"/>
          <w:szCs w:val="22"/>
          <w:lang w:val="en-US"/>
        </w:rPr>
        <w:t>. London, 1992.</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rPr>
      </w:r>
    </w:p>
    <w:p>
      <w:pPr>
        <w:pStyle w:val="Normal"/>
        <w:ind w:start="720" w:end="-31" w:hanging="720"/>
        <w:jc w:val="center"/>
        <w:rPr>
          <w:rFonts w:ascii="Garamond" w:hAnsi="Garamond" w:cs="Garamond"/>
          <w:sz w:val="24"/>
          <w:szCs w:val="24"/>
        </w:rPr>
      </w:pPr>
      <w:r>
        <w:rPr>
          <w:rFonts w:cs="Garamond" w:ascii="Garamond" w:hAnsi="Garamond"/>
          <w:sz w:val="24"/>
          <w:szCs w:val="24"/>
        </w:rPr>
        <w:t>Электронные</w:t>
      </w:r>
      <w:r>
        <w:rPr>
          <w:rFonts w:cs="Garamond" w:ascii="Garamond" w:hAnsi="Garamond"/>
          <w:sz w:val="24"/>
          <w:szCs w:val="24"/>
          <w:lang w:val="en-US"/>
        </w:rPr>
        <w:t xml:space="preserve"> </w:t>
      </w:r>
      <w:r>
        <w:rPr>
          <w:rFonts w:cs="Garamond" w:ascii="Garamond" w:hAnsi="Garamond"/>
          <w:sz w:val="24"/>
          <w:szCs w:val="24"/>
        </w:rPr>
        <w:t>ресурсы</w:t>
      </w:r>
      <w:r>
        <w:rPr>
          <w:rFonts w:cs="Garamond" w:ascii="Garamond" w:hAnsi="Garamond"/>
          <w:sz w:val="24"/>
          <w:szCs w:val="24"/>
          <w:lang w:val="en-US"/>
        </w:rPr>
        <w:t xml:space="preserve"> / Electronic sources</w:t>
      </w:r>
    </w:p>
    <w:p>
      <w:pPr>
        <w:pStyle w:val="Normal"/>
        <w:ind w:start="720" w:end="-31" w:hanging="720"/>
        <w:jc w:val="both"/>
        <w:rPr>
          <w:rFonts w:ascii="Garamond" w:hAnsi="Garamond" w:cs="Garamond"/>
          <w:sz w:val="8"/>
          <w:szCs w:val="8"/>
        </w:rPr>
      </w:pPr>
      <w:r>
        <w:rPr>
          <w:rFonts w:cs="Garamond" w:ascii="Garamond" w:hAnsi="Garamond"/>
          <w:sz w:val="8"/>
          <w:szCs w:val="8"/>
        </w:rPr>
      </w:r>
    </w:p>
    <w:p>
      <w:pPr>
        <w:pStyle w:val="Normal"/>
        <w:ind w:start="720" w:end="-31" w:hanging="720"/>
        <w:jc w:val="both"/>
        <w:rPr/>
      </w:pPr>
      <w:r>
        <w:rPr>
          <w:rFonts w:cs="Garamond" w:ascii="Garamond" w:hAnsi="Garamond"/>
          <w:i/>
          <w:sz w:val="22"/>
          <w:szCs w:val="22"/>
          <w:lang w:val="en-US"/>
        </w:rPr>
        <w:t>Desert Boats</w:t>
      </w:r>
      <w:r>
        <w:rPr>
          <w:rFonts w:cs="Garamond" w:ascii="Garamond" w:hAnsi="Garamond"/>
          <w:sz w:val="22"/>
          <w:szCs w:val="22"/>
          <w:lang w:val="en-US"/>
        </w:rPr>
        <w:t>. URL</w:t>
      </w:r>
      <w:r>
        <w:rPr>
          <w:rFonts w:cs="Garamond" w:ascii="Garamond" w:hAnsi="Garamond"/>
          <w:sz w:val="22"/>
          <w:szCs w:val="22"/>
        </w:rPr>
        <w:t xml:space="preserve">: </w:t>
      </w:r>
      <w:r>
        <w:rPr>
          <w:rFonts w:cs="Garamond" w:ascii="Garamond" w:hAnsi="Garamond"/>
          <w:sz w:val="22"/>
          <w:szCs w:val="22"/>
          <w:lang w:val="en-US"/>
        </w:rPr>
        <w:t>http</w:t>
      </w:r>
      <w:r>
        <w:rPr>
          <w:rFonts w:cs="Garamond" w:ascii="Garamond" w:hAnsi="Garamond"/>
          <w:sz w:val="22"/>
          <w:szCs w:val="22"/>
        </w:rPr>
        <w:t>://</w:t>
      </w:r>
      <w:r>
        <w:rPr>
          <w:rFonts w:cs="Garamond" w:ascii="Garamond" w:hAnsi="Garamond"/>
          <w:sz w:val="22"/>
          <w:szCs w:val="22"/>
          <w:lang w:val="en-US"/>
        </w:rPr>
        <w:t>www</w:t>
      </w:r>
      <w:r>
        <w:rPr>
          <w:rFonts w:cs="Garamond" w:ascii="Garamond" w:hAnsi="Garamond"/>
          <w:sz w:val="22"/>
          <w:szCs w:val="22"/>
        </w:rPr>
        <w:t>.</w:t>
      </w:r>
      <w:r>
        <w:rPr>
          <w:rFonts w:cs="Garamond" w:ascii="Garamond" w:hAnsi="Garamond"/>
          <w:sz w:val="22"/>
          <w:szCs w:val="22"/>
          <w:lang w:val="en-US"/>
        </w:rPr>
        <w:t>eastern</w:t>
      </w:r>
      <w:r>
        <w:rPr>
          <w:rFonts w:cs="Garamond" w:ascii="Garamond" w:hAnsi="Garamond"/>
          <w:sz w:val="22"/>
          <w:szCs w:val="22"/>
        </w:rPr>
        <w:t>-</w:t>
      </w:r>
      <w:r>
        <w:rPr>
          <w:rFonts w:cs="Garamond" w:ascii="Garamond" w:hAnsi="Garamond"/>
          <w:sz w:val="22"/>
          <w:szCs w:val="22"/>
          <w:lang w:val="en-US"/>
        </w:rPr>
        <w:t>desert</w:t>
      </w:r>
      <w:r>
        <w:rPr>
          <w:rFonts w:cs="Garamond" w:ascii="Garamond" w:hAnsi="Garamond"/>
          <w:sz w:val="22"/>
          <w:szCs w:val="22"/>
        </w:rPr>
        <w:t>.</w:t>
      </w:r>
      <w:r>
        <w:rPr>
          <w:rFonts w:cs="Garamond" w:ascii="Garamond" w:hAnsi="Garamond"/>
          <w:sz w:val="22"/>
          <w:szCs w:val="22"/>
          <w:lang w:val="en-US"/>
        </w:rPr>
        <w:t>com</w:t>
      </w:r>
      <w:r>
        <w:rPr>
          <w:rFonts w:cs="Garamond" w:ascii="Garamond" w:hAnsi="Garamond"/>
          <w:sz w:val="22"/>
          <w:szCs w:val="22"/>
        </w:rPr>
        <w:t>/ (дата обращения 20.10.2020).</w:t>
      </w:r>
    </w:p>
    <w:p>
      <w:pPr>
        <w:pStyle w:val="Normal"/>
        <w:ind w:start="720" w:end="-31" w:hanging="720"/>
        <w:jc w:val="both"/>
        <w:rPr>
          <w:rFonts w:ascii="Garamond" w:hAnsi="Garamond" w:cs="Garamond"/>
          <w:sz w:val="22"/>
          <w:szCs w:val="22"/>
          <w:lang w:val="en-US"/>
        </w:rPr>
      </w:pPr>
      <w:r>
        <w:rPr>
          <w:rFonts w:cs="Garamond" w:ascii="Garamond" w:hAnsi="Garamond"/>
          <w:bCs/>
          <w:sz w:val="22"/>
          <w:szCs w:val="22"/>
          <w:shd w:fill="FFFFFF" w:val="clear"/>
        </w:rPr>
        <w:t xml:space="preserve">Wâdi Umm Salam: Egypt. </w:t>
      </w:r>
      <w:r>
        <w:rPr>
          <w:rFonts w:cs="Garamond" w:ascii="Garamond" w:hAnsi="Garamond"/>
          <w:bCs/>
          <w:i/>
          <w:sz w:val="22"/>
          <w:szCs w:val="22"/>
          <w:shd w:fill="FFFFFF" w:val="clear"/>
          <w:lang w:val="en-US"/>
        </w:rPr>
        <w:t>Geographical Names</w:t>
      </w:r>
      <w:r>
        <w:rPr>
          <w:rFonts w:cs="Garamond" w:ascii="Garamond" w:hAnsi="Garamond"/>
          <w:bCs/>
          <w:sz w:val="22"/>
          <w:szCs w:val="22"/>
          <w:shd w:fill="FFFFFF" w:val="clear"/>
          <w:lang w:val="en-US"/>
        </w:rPr>
        <w:t>.</w:t>
      </w:r>
      <w:r>
        <w:rPr>
          <w:rFonts w:cs="Garamond" w:ascii="Garamond" w:hAnsi="Garamond"/>
          <w:sz w:val="22"/>
          <w:szCs w:val="22"/>
          <w:lang w:val="en-US"/>
        </w:rPr>
        <w:t xml:space="preserve"> https://geographic.org/geographic_names/name.php?uni=-475802&amp;fid=1616&amp;c=Egypt (</w:t>
      </w:r>
      <w:r>
        <w:rPr>
          <w:rFonts w:cs="Garamond" w:ascii="Garamond" w:hAnsi="Garamond"/>
          <w:sz w:val="22"/>
          <w:szCs w:val="22"/>
        </w:rPr>
        <w:t>дата</w:t>
      </w:r>
      <w:r>
        <w:rPr>
          <w:rFonts w:cs="Garamond" w:ascii="Garamond" w:hAnsi="Garamond"/>
          <w:sz w:val="22"/>
          <w:szCs w:val="22"/>
          <w:lang w:val="en-US"/>
        </w:rPr>
        <w:t xml:space="preserve"> </w:t>
      </w:r>
      <w:r>
        <w:rPr>
          <w:rFonts w:cs="Garamond" w:ascii="Garamond" w:hAnsi="Garamond"/>
          <w:sz w:val="22"/>
          <w:szCs w:val="22"/>
        </w:rPr>
        <w:t>обращения</w:t>
      </w:r>
      <w:r>
        <w:rPr>
          <w:rFonts w:cs="Garamond" w:ascii="Garamond" w:hAnsi="Garamond"/>
          <w:sz w:val="22"/>
          <w:szCs w:val="22"/>
          <w:lang w:val="en-US"/>
        </w:rPr>
        <w:t xml:space="preserve"> 04.12.2020).</w:t>
      </w:r>
    </w:p>
    <w:p>
      <w:pPr>
        <w:pStyle w:val="Normal"/>
        <w:ind w:start="720" w:end="-31" w:hanging="720"/>
        <w:jc w:val="both"/>
        <w:rPr/>
      </w:pPr>
      <w:r>
        <w:rPr>
          <w:rFonts w:cs="Garamond" w:ascii="Garamond" w:hAnsi="Garamond"/>
          <w:sz w:val="22"/>
          <w:szCs w:val="22"/>
          <w:lang w:val="en-US"/>
        </w:rPr>
        <w:t>ClimatJazeera.</w:t>
      </w:r>
      <w:r>
        <w:rPr>
          <w:lang w:val="en-US"/>
        </w:rPr>
        <w:t xml:space="preserve"> </w:t>
      </w:r>
      <w:r>
        <w:rPr>
          <w:rFonts w:cs="Garamond" w:ascii="Garamond" w:hAnsi="Garamond"/>
          <w:i/>
          <w:sz w:val="22"/>
          <w:szCs w:val="22"/>
          <w:lang w:val="en-US"/>
        </w:rPr>
        <w:t>Twitter</w:t>
      </w:r>
      <w:r>
        <w:rPr>
          <w:rFonts w:cs="Garamond" w:ascii="Garamond" w:hAnsi="Garamond"/>
          <w:i/>
          <w:sz w:val="22"/>
          <w:szCs w:val="22"/>
        </w:rPr>
        <w:t>.</w:t>
      </w:r>
      <w:r>
        <w:rPr>
          <w:rFonts w:cs="Garamond" w:ascii="Garamond" w:hAnsi="Garamond"/>
          <w:i/>
          <w:sz w:val="22"/>
          <w:szCs w:val="22"/>
          <w:lang w:val="en-US"/>
        </w:rPr>
        <w:t>com</w:t>
      </w:r>
      <w:r>
        <w:rPr>
          <w:rFonts w:cs="Garamond" w:ascii="Garamond" w:hAnsi="Garamond"/>
          <w:sz w:val="22"/>
          <w:szCs w:val="22"/>
        </w:rPr>
        <w:t xml:space="preserve">. 06.12.2020.  </w:t>
      </w:r>
      <w:r>
        <w:rPr>
          <w:rFonts w:cs="Garamond" w:ascii="Garamond" w:hAnsi="Garamond"/>
          <w:sz w:val="22"/>
          <w:szCs w:val="22"/>
          <w:lang w:val="en-US"/>
        </w:rPr>
        <w:t>URL</w:t>
      </w:r>
      <w:r>
        <w:rPr>
          <w:rFonts w:cs="Garamond" w:ascii="Garamond" w:hAnsi="Garamond"/>
          <w:sz w:val="22"/>
          <w:szCs w:val="22"/>
        </w:rPr>
        <w:t>: </w:t>
      </w:r>
      <w:hyperlink r:id="rId17" w:tgtFrame="_blank">
        <w:r>
          <w:rPr>
            <w:rFonts w:cs="Garamond" w:ascii="Garamond" w:hAnsi="Garamond"/>
            <w:color w:val="000000"/>
            <w:sz w:val="22"/>
            <w:szCs w:val="22"/>
            <w:u w:val="none"/>
            <w:lang w:val="en-US"/>
          </w:rPr>
          <w:t>https</w:t>
        </w:r>
        <w:r>
          <w:rPr>
            <w:rFonts w:cs="Garamond" w:ascii="Garamond" w:hAnsi="Garamond"/>
            <w:color w:val="000000"/>
            <w:sz w:val="22"/>
            <w:szCs w:val="22"/>
            <w:u w:val="none"/>
          </w:rPr>
          <w:t>://</w:t>
        </w:r>
        <w:r>
          <w:rPr>
            <w:rFonts w:cs="Garamond" w:ascii="Garamond" w:hAnsi="Garamond"/>
            <w:color w:val="000000"/>
            <w:sz w:val="22"/>
            <w:szCs w:val="22"/>
            <w:u w:val="none"/>
            <w:lang w:val="en-US"/>
          </w:rPr>
          <w:t>twitter</w:t>
        </w:r>
        <w:r>
          <w:rPr>
            <w:rFonts w:cs="Garamond" w:ascii="Garamond" w:hAnsi="Garamond"/>
            <w:color w:val="000000"/>
            <w:sz w:val="22"/>
            <w:szCs w:val="22"/>
            <w:u w:val="none"/>
          </w:rPr>
          <w:t>.</w:t>
        </w:r>
        <w:r>
          <w:rPr>
            <w:rFonts w:cs="Garamond" w:ascii="Garamond" w:hAnsi="Garamond"/>
            <w:color w:val="000000"/>
            <w:sz w:val="22"/>
            <w:szCs w:val="22"/>
            <w:u w:val="none"/>
            <w:lang w:val="en-US"/>
          </w:rPr>
          <w:t>com</w:t>
        </w:r>
        <w:r>
          <w:rPr>
            <w:rFonts w:cs="Garamond" w:ascii="Garamond" w:hAnsi="Garamond"/>
            <w:color w:val="000000"/>
            <w:sz w:val="22"/>
            <w:szCs w:val="22"/>
            <w:u w:val="none"/>
          </w:rPr>
          <w:t>/</w:t>
        </w:r>
        <w:r>
          <w:rPr>
            <w:rFonts w:cs="Garamond" w:ascii="Garamond" w:hAnsi="Garamond"/>
            <w:color w:val="000000"/>
            <w:sz w:val="22"/>
            <w:szCs w:val="22"/>
            <w:u w:val="none"/>
            <w:lang w:val="en-US"/>
          </w:rPr>
          <w:t>ClimatJazeera</w:t>
        </w:r>
        <w:r>
          <w:rPr>
            <w:rFonts w:cs="Garamond" w:ascii="Garamond" w:hAnsi="Garamond"/>
            <w:color w:val="000000"/>
            <w:sz w:val="22"/>
            <w:szCs w:val="22"/>
            <w:u w:val="none"/>
          </w:rPr>
          <w:t>/</w:t>
        </w:r>
        <w:r>
          <w:rPr>
            <w:rFonts w:cs="Garamond" w:ascii="Garamond" w:hAnsi="Garamond"/>
            <w:color w:val="000000"/>
            <w:sz w:val="22"/>
            <w:szCs w:val="22"/>
            <w:u w:val="none"/>
            <w:lang w:val="en-US"/>
          </w:rPr>
          <w:t>status</w:t>
        </w:r>
        <w:r>
          <w:rPr>
            <w:rFonts w:cs="Garamond" w:ascii="Garamond" w:hAnsi="Garamond"/>
            <w:color w:val="000000"/>
            <w:sz w:val="22"/>
            <w:szCs w:val="22"/>
            <w:u w:val="none"/>
          </w:rPr>
          <w:t>/1335496375107280896?</w:t>
        </w:r>
        <w:r>
          <w:rPr>
            <w:rFonts w:cs="Garamond" w:ascii="Garamond" w:hAnsi="Garamond"/>
            <w:color w:val="000000"/>
            <w:sz w:val="22"/>
            <w:szCs w:val="22"/>
            <w:u w:val="none"/>
            <w:lang w:val="en-US"/>
          </w:rPr>
          <w:t>ref</w:t>
        </w:r>
        <w:r>
          <w:rPr>
            <w:rFonts w:cs="Garamond" w:ascii="Garamond" w:hAnsi="Garamond"/>
            <w:color w:val="000000"/>
            <w:sz w:val="22"/>
            <w:szCs w:val="22"/>
            <w:u w:val="none"/>
          </w:rPr>
          <w:t>_</w:t>
        </w:r>
        <w:r>
          <w:rPr>
            <w:rFonts w:cs="Garamond" w:ascii="Garamond" w:hAnsi="Garamond"/>
            <w:color w:val="000000"/>
            <w:sz w:val="22"/>
            <w:szCs w:val="22"/>
            <w:u w:val="none"/>
            <w:lang w:val="en-US"/>
          </w:rPr>
          <w:t>src</w:t>
        </w:r>
        <w:r>
          <w:rPr>
            <w:rFonts w:cs="Garamond" w:ascii="Garamond" w:hAnsi="Garamond"/>
            <w:color w:val="000000"/>
            <w:sz w:val="22"/>
            <w:szCs w:val="22"/>
            <w:u w:val="none"/>
          </w:rPr>
          <w:t>=</w:t>
        </w:r>
        <w:r>
          <w:rPr>
            <w:rFonts w:cs="Garamond" w:ascii="Garamond" w:hAnsi="Garamond"/>
            <w:color w:val="000000"/>
            <w:sz w:val="22"/>
            <w:szCs w:val="22"/>
            <w:u w:val="none"/>
            <w:lang w:val="en-US"/>
          </w:rPr>
          <w:t>twsrc</w:t>
        </w:r>
        <w:r>
          <w:rPr>
            <w:rFonts w:cs="Garamond" w:ascii="Garamond" w:hAnsi="Garamond"/>
            <w:color w:val="000000"/>
            <w:sz w:val="22"/>
            <w:szCs w:val="22"/>
            <w:u w:val="none"/>
          </w:rPr>
          <w:t>%5</w:t>
        </w:r>
        <w:r>
          <w:rPr>
            <w:rFonts w:cs="Garamond" w:ascii="Garamond" w:hAnsi="Garamond"/>
            <w:color w:val="000000"/>
            <w:sz w:val="22"/>
            <w:szCs w:val="22"/>
            <w:u w:val="none"/>
            <w:lang w:val="en-US"/>
          </w:rPr>
          <w:t>Etfw</w:t>
        </w:r>
        <w:r>
          <w:rPr>
            <w:rFonts w:cs="Garamond" w:ascii="Garamond" w:hAnsi="Garamond"/>
            <w:color w:val="000000"/>
            <w:sz w:val="22"/>
            <w:szCs w:val="22"/>
            <w:u w:val="none"/>
          </w:rPr>
          <w:t>%7</w:t>
        </w:r>
        <w:r>
          <w:rPr>
            <w:rFonts w:cs="Garamond" w:ascii="Garamond" w:hAnsi="Garamond"/>
            <w:color w:val="000000"/>
            <w:sz w:val="22"/>
            <w:szCs w:val="22"/>
            <w:u w:val="none"/>
            <w:lang w:val="en-US"/>
          </w:rPr>
          <w:t>Ctwcamp</w:t>
        </w:r>
        <w:r>
          <w:rPr>
            <w:rFonts w:cs="Garamond" w:ascii="Garamond" w:hAnsi="Garamond"/>
            <w:color w:val="000000"/>
            <w:sz w:val="22"/>
            <w:szCs w:val="22"/>
            <w:u w:val="none"/>
          </w:rPr>
          <w:t>%5</w:t>
        </w:r>
        <w:r>
          <w:rPr>
            <w:rFonts w:cs="Garamond" w:ascii="Garamond" w:hAnsi="Garamond"/>
            <w:color w:val="000000"/>
            <w:sz w:val="22"/>
            <w:szCs w:val="22"/>
            <w:u w:val="none"/>
            <w:lang w:val="en-US"/>
          </w:rPr>
          <w:t>Etweetembed</w:t>
        </w:r>
        <w:r>
          <w:rPr>
            <w:rFonts w:cs="Garamond" w:ascii="Garamond" w:hAnsi="Garamond"/>
            <w:color w:val="000000"/>
            <w:sz w:val="22"/>
            <w:szCs w:val="22"/>
            <w:u w:val="none"/>
          </w:rPr>
          <w:t>%7</w:t>
        </w:r>
        <w:r>
          <w:rPr>
            <w:rFonts w:cs="Garamond" w:ascii="Garamond" w:hAnsi="Garamond"/>
            <w:color w:val="000000"/>
            <w:sz w:val="22"/>
            <w:szCs w:val="22"/>
            <w:u w:val="none"/>
            <w:lang w:val="en-US"/>
          </w:rPr>
          <w:t>Ctwterm</w:t>
        </w:r>
        <w:r>
          <w:rPr>
            <w:rFonts w:cs="Garamond" w:ascii="Garamond" w:hAnsi="Garamond"/>
            <w:color w:val="000000"/>
            <w:sz w:val="22"/>
            <w:szCs w:val="22"/>
            <w:u w:val="none"/>
          </w:rPr>
          <w:t>%5</w:t>
        </w:r>
        <w:r>
          <w:rPr>
            <w:rFonts w:cs="Garamond" w:ascii="Garamond" w:hAnsi="Garamond"/>
            <w:color w:val="000000"/>
            <w:sz w:val="22"/>
            <w:szCs w:val="22"/>
            <w:u w:val="none"/>
            <w:lang w:val="en-US"/>
          </w:rPr>
          <w:t>E</w:t>
        </w:r>
        <w:r>
          <w:rPr>
            <w:rFonts w:cs="Garamond" w:ascii="Garamond" w:hAnsi="Garamond"/>
            <w:color w:val="000000"/>
            <w:sz w:val="22"/>
            <w:szCs w:val="22"/>
            <w:u w:val="none"/>
          </w:rPr>
          <w:t>1335496375107280896%7</w:t>
        </w:r>
        <w:r>
          <w:rPr>
            <w:rFonts w:cs="Garamond" w:ascii="Garamond" w:hAnsi="Garamond"/>
            <w:color w:val="000000"/>
            <w:sz w:val="22"/>
            <w:szCs w:val="22"/>
            <w:u w:val="none"/>
            <w:lang w:val="en-US"/>
          </w:rPr>
          <w:t>Ctwgr</w:t>
        </w:r>
        <w:r>
          <w:rPr>
            <w:rFonts w:cs="Garamond" w:ascii="Garamond" w:hAnsi="Garamond"/>
            <w:color w:val="000000"/>
            <w:sz w:val="22"/>
            <w:szCs w:val="22"/>
            <w:u w:val="none"/>
          </w:rPr>
          <w:t>%5</w:t>
        </w:r>
        <w:r>
          <w:rPr>
            <w:rFonts w:cs="Garamond" w:ascii="Garamond" w:hAnsi="Garamond"/>
            <w:color w:val="000000"/>
            <w:sz w:val="22"/>
            <w:szCs w:val="22"/>
            <w:u w:val="none"/>
            <w:lang w:val="en-US"/>
          </w:rPr>
          <w:t>E</w:t>
        </w:r>
        <w:r>
          <w:rPr>
            <w:rFonts w:cs="Garamond" w:ascii="Garamond" w:hAnsi="Garamond"/>
            <w:color w:val="000000"/>
            <w:sz w:val="22"/>
            <w:szCs w:val="22"/>
            <w:u w:val="none"/>
          </w:rPr>
          <w:t>%7</w:t>
        </w:r>
        <w:r>
          <w:rPr>
            <w:rFonts w:cs="Garamond" w:ascii="Garamond" w:hAnsi="Garamond"/>
            <w:color w:val="000000"/>
            <w:sz w:val="22"/>
            <w:szCs w:val="22"/>
            <w:u w:val="none"/>
            <w:lang w:val="en-US"/>
          </w:rPr>
          <w:t>Ctwcon</w:t>
        </w:r>
        <w:r>
          <w:rPr>
            <w:rFonts w:cs="Garamond" w:ascii="Garamond" w:hAnsi="Garamond"/>
            <w:color w:val="000000"/>
            <w:sz w:val="22"/>
            <w:szCs w:val="22"/>
            <w:u w:val="none"/>
          </w:rPr>
          <w:t>%5</w:t>
        </w:r>
        <w:r>
          <w:rPr>
            <w:rFonts w:cs="Garamond" w:ascii="Garamond" w:hAnsi="Garamond"/>
            <w:color w:val="000000"/>
            <w:sz w:val="22"/>
            <w:szCs w:val="22"/>
            <w:u w:val="none"/>
            <w:lang w:val="en-US"/>
          </w:rPr>
          <w:t>Es</w:t>
        </w:r>
        <w:r>
          <w:rPr>
            <w:rFonts w:cs="Garamond" w:ascii="Garamond" w:hAnsi="Garamond"/>
            <w:color w:val="000000"/>
            <w:sz w:val="22"/>
            <w:szCs w:val="22"/>
            <w:u w:val="none"/>
          </w:rPr>
          <w:t>1_&amp;</w:t>
        </w:r>
        <w:r>
          <w:rPr>
            <w:rFonts w:cs="Garamond" w:ascii="Garamond" w:hAnsi="Garamond"/>
            <w:color w:val="000000"/>
            <w:sz w:val="22"/>
            <w:szCs w:val="22"/>
            <w:u w:val="none"/>
            <w:lang w:val="en-US"/>
          </w:rPr>
          <w:t>ref</w:t>
        </w:r>
        <w:r>
          <w:rPr>
            <w:rFonts w:cs="Garamond" w:ascii="Garamond" w:hAnsi="Garamond"/>
            <w:color w:val="000000"/>
            <w:sz w:val="22"/>
            <w:szCs w:val="22"/>
            <w:u w:val="none"/>
          </w:rPr>
          <w:t>_</w:t>
        </w:r>
        <w:r>
          <w:rPr>
            <w:rFonts w:cs="Garamond" w:ascii="Garamond" w:hAnsi="Garamond"/>
            <w:color w:val="000000"/>
            <w:sz w:val="22"/>
            <w:szCs w:val="22"/>
            <w:u w:val="none"/>
            <w:lang w:val="en-US"/>
          </w:rPr>
          <w:t>url</w:t>
        </w:r>
        <w:r>
          <w:rPr>
            <w:rFonts w:cs="Garamond" w:ascii="Garamond" w:hAnsi="Garamond"/>
            <w:color w:val="000000"/>
            <w:sz w:val="22"/>
            <w:szCs w:val="22"/>
            <w:u w:val="none"/>
          </w:rPr>
          <w:t>=</w:t>
        </w:r>
        <w:r>
          <w:rPr>
            <w:rFonts w:cs="Garamond" w:ascii="Garamond" w:hAnsi="Garamond"/>
            <w:color w:val="000000"/>
            <w:sz w:val="22"/>
            <w:szCs w:val="22"/>
            <w:u w:val="none"/>
            <w:lang w:val="en-US"/>
          </w:rPr>
          <w:t>https</w:t>
        </w:r>
        <w:r>
          <w:rPr>
            <w:rFonts w:cs="Garamond" w:ascii="Garamond" w:hAnsi="Garamond"/>
            <w:color w:val="000000"/>
            <w:sz w:val="22"/>
            <w:szCs w:val="22"/>
            <w:u w:val="none"/>
          </w:rPr>
          <w:t>%3</w:t>
        </w:r>
        <w:r>
          <w:rPr>
            <w:rFonts w:cs="Garamond" w:ascii="Garamond" w:hAnsi="Garamond"/>
            <w:color w:val="000000"/>
            <w:sz w:val="22"/>
            <w:szCs w:val="22"/>
            <w:u w:val="none"/>
            <w:lang w:val="en-US"/>
          </w:rPr>
          <w:t>A</w:t>
        </w:r>
        <w:r>
          <w:rPr>
            <w:rFonts w:cs="Garamond" w:ascii="Garamond" w:hAnsi="Garamond"/>
            <w:color w:val="000000"/>
            <w:sz w:val="22"/>
            <w:szCs w:val="22"/>
            <w:u w:val="none"/>
          </w:rPr>
          <w:t>%2</w:t>
        </w:r>
        <w:r>
          <w:rPr>
            <w:rFonts w:cs="Garamond" w:ascii="Garamond" w:hAnsi="Garamond"/>
            <w:color w:val="000000"/>
            <w:sz w:val="22"/>
            <w:szCs w:val="22"/>
            <w:u w:val="none"/>
            <w:lang w:val="en-US"/>
          </w:rPr>
          <w:t>F</w:t>
        </w:r>
        <w:r>
          <w:rPr>
            <w:rFonts w:cs="Garamond" w:ascii="Garamond" w:hAnsi="Garamond"/>
            <w:color w:val="000000"/>
            <w:sz w:val="22"/>
            <w:szCs w:val="22"/>
            <w:u w:val="none"/>
          </w:rPr>
          <w:t>%2</w:t>
        </w:r>
        <w:r>
          <w:rPr>
            <w:rFonts w:cs="Garamond" w:ascii="Garamond" w:hAnsi="Garamond"/>
            <w:color w:val="000000"/>
            <w:sz w:val="22"/>
            <w:szCs w:val="22"/>
            <w:u w:val="none"/>
            <w:lang w:val="en-US"/>
          </w:rPr>
          <w:t>Fpogoda</w:t>
        </w:r>
        <w:r>
          <w:rPr>
            <w:rFonts w:cs="Garamond" w:ascii="Garamond" w:hAnsi="Garamond"/>
            <w:color w:val="000000"/>
            <w:sz w:val="22"/>
            <w:szCs w:val="22"/>
            <w:u w:val="none"/>
          </w:rPr>
          <w:t>.</w:t>
        </w:r>
        <w:r>
          <w:rPr>
            <w:rFonts w:cs="Garamond" w:ascii="Garamond" w:hAnsi="Garamond"/>
            <w:color w:val="000000"/>
            <w:sz w:val="22"/>
            <w:szCs w:val="22"/>
            <w:u w:val="none"/>
            <w:lang w:val="en-US"/>
          </w:rPr>
          <w:t>mail</w:t>
        </w:r>
        <w:r>
          <w:rPr>
            <w:rFonts w:cs="Garamond" w:ascii="Garamond" w:hAnsi="Garamond"/>
            <w:color w:val="000000"/>
            <w:sz w:val="22"/>
            <w:szCs w:val="22"/>
            <w:u w:val="none"/>
          </w:rPr>
          <w:t>.</w:t>
        </w:r>
        <w:r>
          <w:rPr>
            <w:rFonts w:cs="Garamond" w:ascii="Garamond" w:hAnsi="Garamond"/>
            <w:color w:val="000000"/>
            <w:sz w:val="22"/>
            <w:szCs w:val="22"/>
            <w:u w:val="none"/>
            <w:lang w:val="en-US"/>
          </w:rPr>
          <w:t>ru</w:t>
        </w:r>
        <w:r>
          <w:rPr>
            <w:rFonts w:cs="Garamond" w:ascii="Garamond" w:hAnsi="Garamond"/>
            <w:color w:val="000000"/>
            <w:sz w:val="22"/>
            <w:szCs w:val="22"/>
            <w:u w:val="none"/>
          </w:rPr>
          <w:t>%2</w:t>
        </w:r>
        <w:r>
          <w:rPr>
            <w:rFonts w:cs="Garamond" w:ascii="Garamond" w:hAnsi="Garamond"/>
            <w:color w:val="000000"/>
            <w:sz w:val="22"/>
            <w:szCs w:val="22"/>
            <w:u w:val="none"/>
            <w:lang w:val="en-US"/>
          </w:rPr>
          <w:t>Fnews</w:t>
        </w:r>
        <w:r>
          <w:rPr>
            <w:rFonts w:cs="Garamond" w:ascii="Garamond" w:hAnsi="Garamond"/>
            <w:color w:val="000000"/>
            <w:sz w:val="22"/>
            <w:szCs w:val="22"/>
            <w:u w:val="none"/>
          </w:rPr>
          <w:t>%2</w:t>
        </w:r>
        <w:r>
          <w:rPr>
            <w:rFonts w:cs="Garamond" w:ascii="Garamond" w:hAnsi="Garamond"/>
            <w:color w:val="000000"/>
            <w:sz w:val="22"/>
            <w:szCs w:val="22"/>
            <w:u w:val="none"/>
            <w:lang w:val="en-US"/>
          </w:rPr>
          <w:t>F</w:t>
        </w:r>
        <w:r>
          <w:rPr>
            <w:rFonts w:cs="Garamond" w:ascii="Garamond" w:hAnsi="Garamond"/>
            <w:color w:val="000000"/>
            <w:sz w:val="22"/>
            <w:szCs w:val="22"/>
            <w:u w:val="none"/>
          </w:rPr>
          <w:t>44442248%2</w:t>
        </w:r>
        <w:r>
          <w:rPr>
            <w:rFonts w:cs="Garamond" w:ascii="Garamond" w:hAnsi="Garamond"/>
            <w:color w:val="000000"/>
            <w:sz w:val="22"/>
            <w:szCs w:val="22"/>
            <w:u w:val="none"/>
            <w:lang w:val="en-US"/>
          </w:rPr>
          <w:t>F</w:t>
        </w:r>
      </w:hyperlink>
      <w:r>
        <w:rPr>
          <w:rFonts w:cs="Garamond" w:ascii="Garamond" w:hAnsi="Garamond"/>
          <w:sz w:val="22"/>
          <w:szCs w:val="22"/>
        </w:rPr>
        <w:t xml:space="preserve"> (дата обращения 08.12.2020)</w:t>
      </w:r>
    </w:p>
    <w:sectPr>
      <w:headerReference w:type="default" r:id="rId18"/>
      <w:footerReference w:type="default" r:id="rId19"/>
      <w:footnotePr>
        <w:numFmt w:val="chicago"/>
        <w:numRestart w:val="eachSect"/>
      </w:footnotePr>
      <w:type w:val="nextPage"/>
      <w:pgSz w:w="11055" w:h="14740"/>
      <w:pgMar w:left="1134" w:right="1134"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cc" w:characterSet="windows-1251"/>
    <w:family w:val="roman"/>
    <w:pitch w:val="variable"/>
  </w:font>
  <w:font w:name="Arial">
    <w:charset w:val="cc" w:characterSet="windows-1251"/>
    <w:family w:val="swiss"/>
    <w:pitch w:val="variable"/>
  </w:font>
  <w:font w:name="Times">
    <w:altName w:val="Times New Roman"/>
    <w:charset w:val="00" w:characterSet="windows-1252"/>
    <w:family w:val="roman"/>
    <w:pitch w:val="variable"/>
  </w:font>
  <w:font w:name="Courier New">
    <w:charset w:val="cc" w:characterSet="windows-1251"/>
    <w:family w:val="modern"/>
    <w:pitch w:val="default"/>
  </w:font>
  <w:font w:name="Wingdings">
    <w:charset w:val="02"/>
    <w:family w:val="auto"/>
    <w:pitch w:val="variable"/>
  </w:font>
  <w:font w:name="Garamond">
    <w:charset w:val="cc" w:characterSet="windows-1251"/>
    <w:family w:val="roman"/>
    <w:pitch w:val="variable"/>
  </w:font>
  <w:font w:name="Liberation Sans">
    <w:altName w:val="Arial"/>
    <w:charset w:val="01" w:characterSet="utf-8"/>
    <w:family w:val="swiss"/>
    <w:pitch w:val="variable"/>
  </w:font>
  <w:font w:name="Deja Vu Serif">
    <w:altName w:val="Times New Roman"/>
    <w:charset w:val="00" w:characterSet="windows-1252"/>
    <w:family w:val="roma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6"/>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16">
              <wp:simplePos x="0" y="0"/>
              <wp:positionH relativeFrom="margin">
                <wp:align>center</wp:align>
              </wp:positionH>
              <wp:positionV relativeFrom="paragraph">
                <wp:posOffset>635</wp:posOffset>
              </wp:positionV>
              <wp:extent cx="178435" cy="162560"/>
              <wp:effectExtent l="0" t="0" r="0" b="0"/>
              <wp:wrapSquare wrapText="largest"/>
              <wp:docPr id="1" name="Врезка3"/>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26"/>
                            <w:rPr>
                              <w:rStyle w:val="Style13"/>
                              <w:rFonts w:ascii="Garamond" w:hAnsi="Garamond" w:cs="Garamond"/>
                              <w:sz w:val="22"/>
                              <w:szCs w:val="22"/>
                            </w:rPr>
                          </w:pPr>
                          <w:r>
                            <w:rPr>
                              <w:rStyle w:val="Style13"/>
                              <w:rFonts w:cs="Garamond" w:ascii="Garamond" w:hAnsi="Garamond"/>
                              <w:sz w:val="22"/>
                              <w:szCs w:val="22"/>
                            </w:rPr>
                            <w:fldChar w:fldCharType="begin"/>
                          </w:r>
                          <w:r>
                            <w:rPr>
                              <w:rStyle w:val="Style13"/>
                              <w:sz w:val="22"/>
                              <w:szCs w:val="22"/>
                              <w:rFonts w:cs="Garamond" w:ascii="Garamond" w:hAnsi="Garamond"/>
                            </w:rPr>
                            <w:instrText> PAGE </w:instrText>
                          </w:r>
                          <w:r>
                            <w:rPr>
                              <w:rStyle w:val="Style13"/>
                              <w:sz w:val="22"/>
                              <w:szCs w:val="22"/>
                              <w:rFonts w:cs="Garamond" w:ascii="Garamond" w:hAnsi="Garamond"/>
                            </w:rPr>
                            <w:fldChar w:fldCharType="separate"/>
                          </w:r>
                          <w:r>
                            <w:rPr>
                              <w:rStyle w:val="Style13"/>
                              <w:sz w:val="22"/>
                              <w:szCs w:val="22"/>
                              <w:rFonts w:cs="Garamond" w:ascii="Garamond" w:hAnsi="Garamond"/>
                            </w:rPr>
                            <w:t>21</w:t>
                          </w:r>
                          <w:r>
                            <w:rPr>
                              <w:rStyle w:val="Style13"/>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65pt;mso-position-horizontal:center;mso-position-horizontal-relative:margin">
              <v:fill opacity="0f"/>
              <v:textbox inset="0in,0in,0in,0in">
                <w:txbxContent>
                  <w:p>
                    <w:pPr>
                      <w:pStyle w:val="Style26"/>
                      <w:rPr>
                        <w:rStyle w:val="Style13"/>
                        <w:rFonts w:ascii="Garamond" w:hAnsi="Garamond" w:cs="Garamond"/>
                        <w:sz w:val="22"/>
                        <w:szCs w:val="22"/>
                      </w:rPr>
                    </w:pPr>
                    <w:r>
                      <w:rPr>
                        <w:rStyle w:val="Style13"/>
                        <w:rFonts w:cs="Garamond" w:ascii="Garamond" w:hAnsi="Garamond"/>
                        <w:sz w:val="22"/>
                        <w:szCs w:val="22"/>
                      </w:rPr>
                      <w:fldChar w:fldCharType="begin"/>
                    </w:r>
                    <w:r>
                      <w:rPr>
                        <w:rStyle w:val="Style13"/>
                        <w:sz w:val="22"/>
                        <w:szCs w:val="22"/>
                        <w:rFonts w:cs="Garamond" w:ascii="Garamond" w:hAnsi="Garamond"/>
                      </w:rPr>
                      <w:instrText> PAGE </w:instrText>
                    </w:r>
                    <w:r>
                      <w:rPr>
                        <w:rStyle w:val="Style13"/>
                        <w:sz w:val="22"/>
                        <w:szCs w:val="22"/>
                        <w:rFonts w:cs="Garamond" w:ascii="Garamond" w:hAnsi="Garamond"/>
                      </w:rPr>
                      <w:fldChar w:fldCharType="separate"/>
                    </w:r>
                    <w:r>
                      <w:rPr>
                        <w:rStyle w:val="Style13"/>
                        <w:sz w:val="22"/>
                        <w:szCs w:val="22"/>
                        <w:rFonts w:cs="Garamond" w:ascii="Garamond" w:hAnsi="Garamond"/>
                      </w:rPr>
                      <w:t>21</w:t>
                    </w:r>
                    <w:r>
                      <w:rPr>
                        <w:rStyle w:val="Style13"/>
                        <w:sz w:val="22"/>
                        <w:szCs w:val="22"/>
                        <w:rFonts w:cs="Garamond" w:ascii="Garamond" w:hAnsi="Garamond"/>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6"/>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48">
              <wp:simplePos x="0" y="0"/>
              <wp:positionH relativeFrom="margin">
                <wp:align>center</wp:align>
              </wp:positionH>
              <wp:positionV relativeFrom="paragraph">
                <wp:posOffset>635</wp:posOffset>
              </wp:positionV>
              <wp:extent cx="178435" cy="162560"/>
              <wp:effectExtent l="0" t="0" r="0" b="0"/>
              <wp:wrapSquare wrapText="largest"/>
              <wp:docPr id="19" name="Врезка4"/>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26"/>
                            <w:rPr/>
                          </w:pPr>
                          <w:r>
                            <w:rPr>
                              <w:rStyle w:val="Style13"/>
                              <w:rFonts w:cs="Garamond" w:ascii="Garamond" w:hAnsi="Garamond"/>
                              <w:sz w:val="22"/>
                              <w:szCs w:val="22"/>
                            </w:rPr>
                            <w:fldChar w:fldCharType="begin"/>
                          </w:r>
                          <w:r>
                            <w:rPr>
                              <w:rStyle w:val="Style13"/>
                              <w:sz w:val="22"/>
                              <w:szCs w:val="22"/>
                              <w:rFonts w:cs="Garamond" w:ascii="Garamond" w:hAnsi="Garamond"/>
                            </w:rPr>
                            <w:instrText> PAGE </w:instrText>
                          </w:r>
                          <w:r>
                            <w:rPr>
                              <w:rStyle w:val="Style13"/>
                              <w:sz w:val="22"/>
                              <w:szCs w:val="22"/>
                              <w:rFonts w:cs="Garamond" w:ascii="Garamond" w:hAnsi="Garamond"/>
                            </w:rPr>
                            <w:fldChar w:fldCharType="separate"/>
                          </w:r>
                          <w:r>
                            <w:rPr>
                              <w:rStyle w:val="Style13"/>
                              <w:sz w:val="22"/>
                              <w:szCs w:val="22"/>
                              <w:rFonts w:cs="Garamond" w:ascii="Garamond" w:hAnsi="Garamond"/>
                            </w:rPr>
                            <w:t>52</w:t>
                          </w:r>
                          <w:r>
                            <w:rPr>
                              <w:rStyle w:val="Style13"/>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65pt;mso-position-horizontal:center;mso-position-horizontal-relative:margin">
              <v:fill opacity="0f"/>
              <v:textbox inset="0in,0in,0in,0in">
                <w:txbxContent>
                  <w:p>
                    <w:pPr>
                      <w:pStyle w:val="Style26"/>
                      <w:rPr/>
                    </w:pPr>
                    <w:r>
                      <w:rPr>
                        <w:rStyle w:val="Style13"/>
                        <w:rFonts w:cs="Garamond" w:ascii="Garamond" w:hAnsi="Garamond"/>
                        <w:sz w:val="22"/>
                        <w:szCs w:val="22"/>
                      </w:rPr>
                      <w:fldChar w:fldCharType="begin"/>
                    </w:r>
                    <w:r>
                      <w:rPr>
                        <w:rStyle w:val="Style13"/>
                        <w:sz w:val="22"/>
                        <w:szCs w:val="22"/>
                        <w:rFonts w:cs="Garamond" w:ascii="Garamond" w:hAnsi="Garamond"/>
                      </w:rPr>
                      <w:instrText> PAGE </w:instrText>
                    </w:r>
                    <w:r>
                      <w:rPr>
                        <w:rStyle w:val="Style13"/>
                        <w:sz w:val="22"/>
                        <w:szCs w:val="22"/>
                        <w:rFonts w:cs="Garamond" w:ascii="Garamond" w:hAnsi="Garamond"/>
                      </w:rPr>
                      <w:fldChar w:fldCharType="separate"/>
                    </w:r>
                    <w:r>
                      <w:rPr>
                        <w:rStyle w:val="Style13"/>
                        <w:sz w:val="22"/>
                        <w:szCs w:val="22"/>
                        <w:rFonts w:cs="Garamond" w:ascii="Garamond" w:hAnsi="Garamond"/>
                      </w:rPr>
                      <w:t>52</w:t>
                    </w:r>
                    <w:r>
                      <w:rPr>
                        <w:rStyle w:val="Style13"/>
                        <w:sz w:val="22"/>
                        <w:szCs w:val="22"/>
                        <w:rFonts w:cs="Garamond" w:ascii="Garamond" w:hAnsi="Garamond"/>
                      </w:rPr>
                      <w:fldChar w:fldCharType="end"/>
                    </w:r>
                  </w:p>
                </w:txbxContent>
              </v:textbox>
              <w10:wrap type="square" side="largest"/>
            </v:rect>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Style27"/>
        <w:ind w:end="-31" w:hanging="0"/>
        <w:jc w:val="both"/>
        <w:rPr>
          <w:rFonts w:ascii="Garamond" w:hAnsi="Garamond" w:cs="Garamond"/>
          <w:sz w:val="20"/>
          <w:szCs w:val="20"/>
          <w:lang w:val="en-US"/>
        </w:rPr>
      </w:pPr>
      <w:r>
        <w:rPr>
          <w:rStyle w:val="Style10"/>
        </w:rPr>
        <w:footnoteRef/>
      </w:r>
      <w:r>
        <w:rPr>
          <w:rFonts w:cs="Garamond" w:ascii="Garamond" w:hAnsi="Garamond"/>
          <w:sz w:val="20"/>
          <w:szCs w:val="20"/>
        </w:rPr>
        <w:t xml:space="preserve"> </w:t>
      </w:r>
      <w:r>
        <w:rPr>
          <w:rFonts w:cs="Garamond" w:ascii="Garamond" w:hAnsi="Garamond"/>
          <w:sz w:val="20"/>
          <w:szCs w:val="20"/>
        </w:rPr>
        <w:t xml:space="preserve">Дмитрий Борисович ПРУСАКОВ, доктор исторических наук, главный научный сотрудник Института востоковедения РАН, Москва; </w:t>
      </w:r>
      <w:hyperlink r:id="rId1">
        <w:r>
          <w:rPr>
            <w:rFonts w:cs="Garamond" w:ascii="Garamond" w:hAnsi="Garamond"/>
            <w:color w:val="000000"/>
            <w:sz w:val="20"/>
            <w:szCs w:val="20"/>
            <w:u w:val="none"/>
            <w:lang w:val="en-US"/>
          </w:rPr>
          <w:t>dmprusakov</w:t>
        </w:r>
        <w:r>
          <w:rPr>
            <w:rFonts w:cs="Garamond" w:ascii="Garamond" w:hAnsi="Garamond"/>
            <w:color w:val="000000"/>
            <w:sz w:val="20"/>
            <w:szCs w:val="20"/>
            <w:u w:val="none"/>
          </w:rPr>
          <w:t>@</w:t>
        </w:r>
        <w:r>
          <w:rPr>
            <w:rFonts w:cs="Garamond" w:ascii="Garamond" w:hAnsi="Garamond"/>
            <w:color w:val="000000"/>
            <w:sz w:val="20"/>
            <w:szCs w:val="20"/>
            <w:u w:val="none"/>
            <w:lang w:val="en-US"/>
          </w:rPr>
          <w:t>mail</w:t>
        </w:r>
        <w:r>
          <w:rPr>
            <w:rFonts w:cs="Garamond" w:ascii="Garamond" w:hAnsi="Garamond"/>
            <w:color w:val="000000"/>
            <w:sz w:val="20"/>
            <w:szCs w:val="20"/>
            <w:u w:val="none"/>
          </w:rPr>
          <w:t>.</w:t>
        </w:r>
        <w:r>
          <w:rPr>
            <w:rFonts w:cs="Garamond" w:ascii="Garamond" w:hAnsi="Garamond"/>
            <w:color w:val="000000"/>
            <w:sz w:val="20"/>
            <w:szCs w:val="20"/>
            <w:u w:val="none"/>
            <w:lang w:val="en-US"/>
          </w:rPr>
          <w:t>ru</w:t>
        </w:r>
      </w:hyperlink>
    </w:p>
    <w:p>
      <w:pPr>
        <w:pStyle w:val="Style27"/>
        <w:ind w:end="-31" w:hanging="0"/>
        <w:jc w:val="both"/>
        <w:rPr>
          <w:rFonts w:ascii="Garamond" w:hAnsi="Garamond" w:cs="Garamond"/>
          <w:sz w:val="20"/>
          <w:szCs w:val="20"/>
          <w:lang w:val="en-US"/>
        </w:rPr>
      </w:pPr>
      <w:r>
        <w:rPr>
          <w:rFonts w:eastAsia="Garamond" w:cs="Garamond" w:ascii="Garamond" w:hAnsi="Garamond"/>
          <w:sz w:val="20"/>
          <w:szCs w:val="20"/>
          <w:lang w:val="en-US"/>
        </w:rPr>
        <w:t xml:space="preserve">  </w:t>
      </w:r>
      <w:r>
        <w:rPr>
          <w:rFonts w:cs="Garamond" w:ascii="Garamond" w:hAnsi="Garamond"/>
          <w:sz w:val="20"/>
          <w:szCs w:val="20"/>
          <w:lang w:val="en-US"/>
        </w:rPr>
        <w:t xml:space="preserve">Dmitry B. </w:t>
      </w:r>
      <w:r>
        <w:rPr>
          <w:rFonts w:cs="Garamond" w:ascii="Garamond" w:hAnsi="Garamond"/>
          <w:caps/>
          <w:sz w:val="20"/>
          <w:szCs w:val="20"/>
          <w:lang w:val="en-US"/>
        </w:rPr>
        <w:t>Proussakov</w:t>
      </w:r>
      <w:r>
        <w:rPr>
          <w:rFonts w:cs="Garamond" w:ascii="Garamond" w:hAnsi="Garamond"/>
          <w:sz w:val="20"/>
          <w:szCs w:val="20"/>
          <w:lang w:val="en-US"/>
        </w:rPr>
        <w:t xml:space="preserve">, DSc (History), Principal Research Fellow, Institute of Oriental Studies RAS, Moscow; </w:t>
      </w:r>
      <w:hyperlink r:id="rId2">
        <w:r>
          <w:rPr>
            <w:rFonts w:cs="Garamond" w:ascii="Garamond" w:hAnsi="Garamond"/>
            <w:color w:val="000000"/>
            <w:sz w:val="20"/>
            <w:szCs w:val="20"/>
            <w:u w:val="none"/>
            <w:lang w:val="en-US"/>
          </w:rPr>
          <w:t>dmprusakov@mail.ru</w:t>
        </w:r>
      </w:hyperlink>
    </w:p>
    <w:p>
      <w:pPr>
        <w:pStyle w:val="Normal"/>
        <w:ind w:end="-31" w:hanging="0"/>
        <w:jc w:val="both"/>
        <w:rPr>
          <w:rFonts w:ascii="Garamond" w:hAnsi="Garamond" w:cs="Garamond"/>
        </w:rPr>
      </w:pPr>
      <w:r>
        <w:rPr>
          <w:rFonts w:eastAsia="Garamond" w:cs="Garamond" w:ascii="Garamond" w:hAnsi="Garamond"/>
          <w:lang w:val="en-US"/>
        </w:rPr>
        <w:t xml:space="preserve">  </w:t>
      </w:r>
      <w:r>
        <w:rPr>
          <w:rFonts w:cs="Garamond" w:ascii="Garamond" w:hAnsi="Garamond"/>
        </w:rPr>
        <w:t xml:space="preserve">ORCID ID: </w:t>
      </w:r>
      <w:hyperlink r:id="rId3" w:tgtFrame="_blank">
        <w:r>
          <w:rPr>
            <w:rFonts w:cs="Garamond" w:ascii="Garamond" w:hAnsi="Garamond"/>
            <w:color w:val="000000"/>
            <w:u w:val="none"/>
          </w:rPr>
          <w:t>0000-0001-6065-4610</w:t>
        </w:r>
      </w:hyperlink>
    </w:p>
  </w:footnote>
  <w:footnote w:id="3">
    <w:p>
      <w:pPr>
        <w:pStyle w:val="Style27"/>
        <w:ind w:end="-31" w:hanging="0"/>
        <w:jc w:val="both"/>
        <w:rPr/>
      </w:pPr>
      <w:r>
        <w:rPr>
          <w:rStyle w:val="Style10"/>
        </w:rPr>
        <w:footnoteRef/>
      </w:r>
      <w:r>
        <w:rPr>
          <w:rFonts w:cs="Garamond" w:ascii="Garamond" w:hAnsi="Garamond"/>
          <w:sz w:val="20"/>
          <w:szCs w:val="20"/>
        </w:rPr>
        <w:t xml:space="preserve"> </w:t>
      </w:r>
      <w:r>
        <w:rPr>
          <w:rFonts w:cs="Garamond" w:ascii="Garamond" w:hAnsi="Garamond"/>
          <w:sz w:val="20"/>
          <w:szCs w:val="20"/>
        </w:rPr>
        <w:t>Подробно см.: [Прусаков, 2015].</w:t>
      </w:r>
    </w:p>
  </w:footnote>
  <w:footnote w:id="4">
    <w:p>
      <w:pPr>
        <w:pStyle w:val="Style27"/>
        <w:ind w:end="-31" w:hanging="0"/>
        <w:jc w:val="both"/>
        <w:rPr/>
      </w:pPr>
      <w:r>
        <w:rPr>
          <w:rStyle w:val="Style10"/>
        </w:rPr>
        <w:footnoteRef/>
      </w:r>
      <w:r>
        <w:rPr>
          <w:rFonts w:cs="Garamond" w:ascii="Garamond" w:hAnsi="Garamond"/>
          <w:sz w:val="20"/>
          <w:szCs w:val="20"/>
          <w:lang w:val="en-US"/>
        </w:rPr>
        <w:t xml:space="preserve"> </w:t>
      </w:r>
      <w:r>
        <w:rPr>
          <w:rFonts w:cs="Garamond" w:ascii="Garamond" w:hAnsi="Garamond"/>
          <w:sz w:val="20"/>
          <w:szCs w:val="20"/>
        </w:rPr>
        <w:t>См</w:t>
      </w:r>
      <w:r>
        <w:rPr>
          <w:rFonts w:cs="Garamond" w:ascii="Garamond" w:hAnsi="Garamond"/>
          <w:sz w:val="20"/>
          <w:szCs w:val="20"/>
          <w:lang w:val="en-US"/>
        </w:rPr>
        <w:t>.: [Baumgartel, 1947–1960; Derry, 1956; Emery, 1961; Murray, 1956; Petrie, Quibell, 1896; Rohl, 1998].</w:t>
      </w:r>
    </w:p>
  </w:footnote>
  <w:footnote w:id="5">
    <w:p>
      <w:pPr>
        <w:pStyle w:val="Style27"/>
        <w:ind w:end="-31" w:hanging="0"/>
        <w:jc w:val="both"/>
        <w:rPr/>
      </w:pPr>
      <w:r>
        <w:rPr>
          <w:rStyle w:val="Style10"/>
        </w:rPr>
        <w:footnoteRef/>
      </w:r>
      <w:r>
        <w:rPr>
          <w:rFonts w:cs="Garamond" w:ascii="Garamond" w:hAnsi="Garamond"/>
          <w:sz w:val="20"/>
          <w:szCs w:val="20"/>
          <w:lang w:val="en-US"/>
        </w:rPr>
        <w:t xml:space="preserve"> </w:t>
      </w:r>
      <w:r>
        <w:rPr>
          <w:rFonts w:cs="Garamond" w:ascii="Garamond" w:hAnsi="Garamond"/>
          <w:sz w:val="20"/>
          <w:szCs w:val="20"/>
        </w:rPr>
        <w:t>См</w:t>
      </w:r>
      <w:r>
        <w:rPr>
          <w:rFonts w:cs="Garamond" w:ascii="Garamond" w:hAnsi="Garamond"/>
          <w:sz w:val="20"/>
          <w:szCs w:val="20"/>
          <w:lang w:val="en-US"/>
        </w:rPr>
        <w:t xml:space="preserve">., </w:t>
      </w:r>
      <w:r>
        <w:rPr>
          <w:rFonts w:cs="Garamond" w:ascii="Garamond" w:hAnsi="Garamond"/>
          <w:sz w:val="20"/>
          <w:szCs w:val="20"/>
        </w:rPr>
        <w:t>например</w:t>
      </w:r>
      <w:r>
        <w:rPr>
          <w:rFonts w:cs="Garamond" w:ascii="Garamond" w:hAnsi="Garamond"/>
          <w:sz w:val="20"/>
          <w:szCs w:val="20"/>
          <w:lang w:val="en-US"/>
        </w:rPr>
        <w:t>: [Wengrow, 2006; 2010].</w:t>
      </w:r>
    </w:p>
  </w:footnote>
  <w:footnote w:id="6">
    <w:p>
      <w:pPr>
        <w:pStyle w:val="Style27"/>
        <w:ind w:end="-31" w:hanging="0"/>
        <w:jc w:val="both"/>
        <w:rPr/>
      </w:pPr>
      <w:r>
        <w:rPr>
          <w:rStyle w:val="Style10"/>
        </w:rPr>
        <w:footnoteRef/>
      </w:r>
      <w:r>
        <w:rPr>
          <w:rFonts w:cs="Garamond" w:ascii="Garamond" w:hAnsi="Garamond"/>
          <w:sz w:val="20"/>
          <w:szCs w:val="20"/>
          <w:lang w:val="en-US"/>
        </w:rPr>
        <w:t xml:space="preserve"> </w:t>
      </w:r>
      <w:r>
        <w:rPr>
          <w:rFonts w:cs="Garamond" w:ascii="Garamond" w:hAnsi="Garamond"/>
          <w:sz w:val="20"/>
          <w:szCs w:val="20"/>
        </w:rPr>
        <w:t>Ср</w:t>
      </w:r>
      <w:r>
        <w:rPr>
          <w:rFonts w:cs="Garamond" w:ascii="Garamond" w:hAnsi="Garamond"/>
          <w:sz w:val="20"/>
          <w:szCs w:val="20"/>
          <w:lang w:val="en-US"/>
        </w:rPr>
        <w:t>.: [Wilkinson, 1996; 1999; 2000].</w:t>
      </w:r>
    </w:p>
  </w:footnote>
  <w:footnote w:id="7">
    <w:p>
      <w:pPr>
        <w:pStyle w:val="Normal"/>
        <w:autoSpaceDE w:val="false"/>
        <w:ind w:end="-31" w:hanging="0"/>
        <w:jc w:val="both"/>
        <w:rPr/>
      </w:pPr>
      <w:r>
        <w:rPr>
          <w:rStyle w:val="Style10"/>
        </w:rPr>
        <w:footnoteRef/>
      </w:r>
      <w:r>
        <w:rPr>
          <w:rFonts w:cs="Garamond" w:ascii="Garamond" w:hAnsi="Garamond"/>
          <w:lang w:val="en-US"/>
        </w:rPr>
        <w:t xml:space="preserve"> </w:t>
      </w:r>
      <w:r>
        <w:rPr>
          <w:rFonts w:cs="Garamond" w:ascii="Garamond" w:hAnsi="Garamond"/>
        </w:rPr>
        <w:t>Ср</w:t>
      </w:r>
      <w:r>
        <w:rPr>
          <w:rFonts w:cs="Garamond" w:ascii="Garamond" w:hAnsi="Garamond"/>
          <w:lang w:val="en-US"/>
        </w:rPr>
        <w:t xml:space="preserve">.: [Capart, 1905; Huyge, 2002a; Mithen, 1996]. </w:t>
      </w:r>
      <w:r>
        <w:rPr>
          <w:rFonts w:cs="Garamond" w:ascii="Garamond" w:hAnsi="Garamond"/>
        </w:rPr>
        <w:t>«Наличие на скалах пустыни изображений лодок трудно объяснимо; возможно, многие из них связаны с мифологическими представлениями о небесных ладьях или же о предметах погребального культа. Этот вопрос возникает и по отношению к подобным изображениям на скалах в различных частях земного шара» [Пиотровский, 1983].</w:t>
      </w:r>
    </w:p>
  </w:footnote>
  <w:footnote w:id="8">
    <w:p>
      <w:pPr>
        <w:pStyle w:val="Style27"/>
        <w:ind w:end="-31" w:hanging="0"/>
        <w:jc w:val="both"/>
        <w:rPr/>
      </w:pPr>
      <w:r>
        <w:rPr>
          <w:rStyle w:val="Style10"/>
        </w:rPr>
        <w:footnoteRef/>
      </w:r>
      <w:r>
        <w:rPr>
          <w:rFonts w:cs="Garamond" w:ascii="Garamond" w:hAnsi="Garamond"/>
          <w:sz w:val="20"/>
          <w:szCs w:val="20"/>
        </w:rPr>
        <w:t xml:space="preserve"> </w:t>
      </w:r>
      <w:r>
        <w:rPr>
          <w:rFonts w:cs="Garamond" w:ascii="Garamond" w:hAnsi="Garamond"/>
          <w:sz w:val="20"/>
          <w:szCs w:val="20"/>
        </w:rPr>
        <w:t>См., например: [</w:t>
      </w:r>
      <w:r>
        <w:rPr>
          <w:rFonts w:cs="Garamond" w:ascii="Garamond" w:hAnsi="Garamond"/>
          <w:sz w:val="20"/>
          <w:szCs w:val="20"/>
          <w:lang w:val="en-US"/>
        </w:rPr>
        <w:t>Darnell</w:t>
      </w:r>
      <w:r>
        <w:rPr>
          <w:rFonts w:cs="Garamond" w:ascii="Garamond" w:hAnsi="Garamond"/>
          <w:sz w:val="20"/>
          <w:szCs w:val="20"/>
        </w:rPr>
        <w:t xml:space="preserve">, 2011; </w:t>
      </w:r>
      <w:r>
        <w:rPr>
          <w:rFonts w:cs="Garamond" w:ascii="Garamond" w:hAnsi="Garamond"/>
          <w:sz w:val="20"/>
          <w:szCs w:val="20"/>
          <w:lang w:val="en-US"/>
        </w:rPr>
        <w:t>Darnell</w:t>
      </w:r>
      <w:r>
        <w:rPr>
          <w:rFonts w:cs="Garamond" w:ascii="Garamond" w:hAnsi="Garamond"/>
          <w:sz w:val="20"/>
          <w:szCs w:val="20"/>
        </w:rPr>
        <w:t xml:space="preserve">, </w:t>
      </w:r>
      <w:r>
        <w:rPr>
          <w:rFonts w:cs="Garamond" w:ascii="Garamond" w:hAnsi="Garamond"/>
          <w:sz w:val="20"/>
          <w:szCs w:val="20"/>
          <w:lang w:val="en-US"/>
        </w:rPr>
        <w:t>Hendrickx</w:t>
      </w:r>
      <w:r>
        <w:rPr>
          <w:rFonts w:cs="Garamond" w:ascii="Garamond" w:hAnsi="Garamond"/>
          <w:sz w:val="20"/>
          <w:szCs w:val="20"/>
        </w:rPr>
        <w:t xml:space="preserve">, </w:t>
      </w:r>
      <w:r>
        <w:rPr>
          <w:rFonts w:cs="Garamond" w:ascii="Garamond" w:hAnsi="Garamond"/>
          <w:sz w:val="20"/>
          <w:szCs w:val="20"/>
          <w:lang w:val="en-US"/>
        </w:rPr>
        <w:t>Gatto</w:t>
      </w:r>
      <w:r>
        <w:rPr>
          <w:rFonts w:cs="Garamond" w:ascii="Garamond" w:hAnsi="Garamond"/>
          <w:sz w:val="20"/>
          <w:szCs w:val="20"/>
        </w:rPr>
        <w:t xml:space="preserve">, 2017; </w:t>
      </w:r>
      <w:r>
        <w:rPr>
          <w:rFonts w:cs="Garamond" w:ascii="Garamond" w:hAnsi="Garamond"/>
          <w:sz w:val="20"/>
          <w:szCs w:val="20"/>
          <w:lang w:val="en-US"/>
        </w:rPr>
        <w:t>Hendrickx</w:t>
      </w:r>
      <w:r>
        <w:rPr>
          <w:rFonts w:cs="Garamond" w:ascii="Garamond" w:hAnsi="Garamond"/>
          <w:sz w:val="20"/>
          <w:szCs w:val="20"/>
        </w:rPr>
        <w:t xml:space="preserve">, </w:t>
      </w:r>
      <w:r>
        <w:rPr>
          <w:rFonts w:cs="Garamond" w:ascii="Garamond" w:hAnsi="Garamond"/>
          <w:sz w:val="20"/>
          <w:szCs w:val="20"/>
          <w:lang w:val="en-US"/>
        </w:rPr>
        <w:t>Darnell</w:t>
      </w:r>
      <w:r>
        <w:rPr>
          <w:rFonts w:cs="Garamond" w:ascii="Garamond" w:hAnsi="Garamond"/>
          <w:sz w:val="20"/>
          <w:szCs w:val="20"/>
        </w:rPr>
        <w:t xml:space="preserve">, </w:t>
      </w:r>
      <w:r>
        <w:rPr>
          <w:rFonts w:cs="Garamond" w:ascii="Garamond" w:hAnsi="Garamond"/>
          <w:sz w:val="20"/>
          <w:szCs w:val="20"/>
          <w:lang w:val="en-US"/>
        </w:rPr>
        <w:t>Gatto</w:t>
      </w:r>
      <w:r>
        <w:rPr>
          <w:rFonts w:cs="Garamond" w:ascii="Garamond" w:hAnsi="Garamond"/>
          <w:sz w:val="20"/>
          <w:szCs w:val="20"/>
        </w:rPr>
        <w:t>, 2012].</w:t>
      </w:r>
    </w:p>
  </w:footnote>
  <w:footnote w:id="9">
    <w:p>
      <w:pPr>
        <w:pStyle w:val="Style27"/>
        <w:ind w:end="-31" w:hanging="0"/>
        <w:jc w:val="both"/>
        <w:rPr/>
      </w:pPr>
      <w:r>
        <w:rPr>
          <w:rStyle w:val="Style10"/>
        </w:rPr>
        <w:footnoteRef/>
      </w:r>
      <w:r>
        <w:rPr>
          <w:rFonts w:cs="Garamond" w:ascii="Garamond" w:hAnsi="Garamond"/>
          <w:sz w:val="20"/>
          <w:szCs w:val="20"/>
        </w:rPr>
        <w:t xml:space="preserve"> </w:t>
      </w:r>
      <w:r>
        <w:rPr>
          <w:rFonts w:cs="Garamond" w:ascii="Garamond" w:hAnsi="Garamond"/>
          <w:sz w:val="20"/>
          <w:szCs w:val="20"/>
        </w:rPr>
        <w:t xml:space="preserve">См.: </w:t>
      </w:r>
      <w:r>
        <w:rPr>
          <w:rFonts w:cs="Garamond" w:ascii="Garamond" w:hAnsi="Garamond"/>
          <w:i/>
          <w:sz w:val="20"/>
          <w:szCs w:val="20"/>
          <w:lang w:val="en-US"/>
        </w:rPr>
        <w:t>Desert</w:t>
      </w:r>
      <w:r>
        <w:rPr>
          <w:rFonts w:cs="Garamond" w:ascii="Garamond" w:hAnsi="Garamond"/>
          <w:i/>
          <w:sz w:val="20"/>
          <w:szCs w:val="20"/>
        </w:rPr>
        <w:t xml:space="preserve"> </w:t>
      </w:r>
      <w:r>
        <w:rPr>
          <w:rFonts w:cs="Garamond" w:ascii="Garamond" w:hAnsi="Garamond"/>
          <w:i/>
          <w:sz w:val="20"/>
          <w:szCs w:val="20"/>
          <w:lang w:val="en-US"/>
        </w:rPr>
        <w:t>Boats</w:t>
      </w:r>
      <w:r>
        <w:rPr>
          <w:rFonts w:cs="Garamond" w:ascii="Garamond" w:hAnsi="Garamond"/>
          <w:sz w:val="20"/>
          <w:szCs w:val="20"/>
        </w:rPr>
        <w:t xml:space="preserve">. </w:t>
      </w:r>
      <w:r>
        <w:rPr>
          <w:rFonts w:cs="Garamond" w:ascii="Garamond" w:hAnsi="Garamond"/>
          <w:sz w:val="20"/>
          <w:szCs w:val="20"/>
          <w:lang w:val="en-US"/>
        </w:rPr>
        <w:t>URL</w:t>
      </w:r>
      <w:r>
        <w:rPr>
          <w:rFonts w:cs="Garamond" w:ascii="Garamond" w:hAnsi="Garamond"/>
          <w:sz w:val="20"/>
          <w:szCs w:val="20"/>
        </w:rPr>
        <w:t xml:space="preserve">: </w:t>
      </w:r>
      <w:r>
        <w:rPr>
          <w:rFonts w:cs="Garamond" w:ascii="Garamond" w:hAnsi="Garamond"/>
          <w:sz w:val="20"/>
          <w:szCs w:val="20"/>
          <w:lang w:val="en-US"/>
        </w:rPr>
        <w:t>http</w:t>
      </w:r>
      <w:r>
        <w:rPr>
          <w:rFonts w:cs="Garamond" w:ascii="Garamond" w:hAnsi="Garamond"/>
          <w:sz w:val="20"/>
          <w:szCs w:val="20"/>
        </w:rPr>
        <w:t>://</w:t>
      </w:r>
      <w:r>
        <w:rPr>
          <w:rFonts w:cs="Garamond" w:ascii="Garamond" w:hAnsi="Garamond"/>
          <w:sz w:val="20"/>
          <w:szCs w:val="20"/>
          <w:lang w:val="en-US"/>
        </w:rPr>
        <w:t>www</w:t>
      </w:r>
      <w:r>
        <w:rPr>
          <w:rFonts w:cs="Garamond" w:ascii="Garamond" w:hAnsi="Garamond"/>
          <w:sz w:val="20"/>
          <w:szCs w:val="20"/>
        </w:rPr>
        <w:t>.</w:t>
      </w:r>
      <w:r>
        <w:rPr>
          <w:rFonts w:cs="Garamond" w:ascii="Garamond" w:hAnsi="Garamond"/>
          <w:sz w:val="20"/>
          <w:szCs w:val="20"/>
          <w:lang w:val="en-US"/>
        </w:rPr>
        <w:t>eastern</w:t>
      </w:r>
      <w:r>
        <w:rPr>
          <w:rFonts w:cs="Garamond" w:ascii="Garamond" w:hAnsi="Garamond"/>
          <w:sz w:val="20"/>
          <w:szCs w:val="20"/>
        </w:rPr>
        <w:t>-</w:t>
      </w:r>
      <w:r>
        <w:rPr>
          <w:rFonts w:cs="Garamond" w:ascii="Garamond" w:hAnsi="Garamond"/>
          <w:sz w:val="20"/>
          <w:szCs w:val="20"/>
          <w:lang w:val="en-US"/>
        </w:rPr>
        <w:t>desert</w:t>
      </w:r>
      <w:r>
        <w:rPr>
          <w:rFonts w:cs="Garamond" w:ascii="Garamond" w:hAnsi="Garamond"/>
          <w:sz w:val="20"/>
          <w:szCs w:val="20"/>
        </w:rPr>
        <w:t>.</w:t>
      </w:r>
      <w:r>
        <w:rPr>
          <w:rFonts w:cs="Garamond" w:ascii="Garamond" w:hAnsi="Garamond"/>
          <w:sz w:val="20"/>
          <w:szCs w:val="20"/>
          <w:lang w:val="en-US"/>
        </w:rPr>
        <w:t>com</w:t>
      </w:r>
      <w:r>
        <w:rPr>
          <w:rFonts w:cs="Garamond" w:ascii="Garamond" w:hAnsi="Garamond"/>
          <w:sz w:val="20"/>
          <w:szCs w:val="20"/>
        </w:rPr>
        <w:t>/ (дата обращения 20.10.2020).</w:t>
      </w:r>
    </w:p>
  </w:footnote>
  <w:footnote w:id="10">
    <w:p>
      <w:pPr>
        <w:pStyle w:val="Style27"/>
        <w:ind w:end="-31" w:hanging="0"/>
        <w:jc w:val="both"/>
        <w:rPr/>
      </w:pPr>
      <w:r>
        <w:rPr>
          <w:rStyle w:val="Style10"/>
        </w:rPr>
        <w:footnoteRef/>
      </w:r>
      <w:r>
        <w:rPr>
          <w:rFonts w:cs="Garamond" w:ascii="Garamond" w:hAnsi="Garamond"/>
          <w:sz w:val="20"/>
          <w:szCs w:val="20"/>
          <w:lang w:val="en-US"/>
        </w:rPr>
        <w:t xml:space="preserve"> </w:t>
      </w:r>
      <w:r>
        <w:rPr>
          <w:rFonts w:cs="Garamond" w:ascii="Garamond" w:hAnsi="Garamond"/>
          <w:sz w:val="20"/>
          <w:szCs w:val="20"/>
        </w:rPr>
        <w:t>См</w:t>
      </w:r>
      <w:r>
        <w:rPr>
          <w:rFonts w:cs="Garamond" w:ascii="Garamond" w:hAnsi="Garamond"/>
          <w:sz w:val="20"/>
          <w:szCs w:val="20"/>
          <w:lang w:val="en-US"/>
        </w:rPr>
        <w:t>.: [</w:t>
      </w:r>
      <w:r>
        <w:rPr>
          <w:rFonts w:cs="Garamond" w:ascii="Garamond" w:hAnsi="Garamond"/>
          <w:bCs/>
          <w:iCs/>
          <w:sz w:val="20"/>
          <w:szCs w:val="20"/>
          <w:lang w:val="en-US"/>
        </w:rPr>
        <w:t>Keding,</w:t>
      </w:r>
      <w:r>
        <w:rPr>
          <w:rFonts w:cs="Garamond" w:ascii="Garamond" w:hAnsi="Garamond"/>
          <w:sz w:val="20"/>
          <w:szCs w:val="20"/>
          <w:lang w:val="en-US"/>
        </w:rPr>
        <w:t xml:space="preserve"> 1998; </w:t>
      </w:r>
      <w:r>
        <w:rPr>
          <w:rFonts w:cs="Garamond" w:ascii="Garamond" w:hAnsi="Garamond"/>
          <w:iCs/>
          <w:sz w:val="20"/>
          <w:szCs w:val="20"/>
          <w:lang w:val="en-US"/>
        </w:rPr>
        <w:t>Kröpelin, 1993;</w:t>
      </w:r>
      <w:r>
        <w:rPr>
          <w:rFonts w:cs="Garamond" w:ascii="Garamond" w:hAnsi="Garamond"/>
          <w:sz w:val="20"/>
          <w:szCs w:val="20"/>
          <w:lang w:val="en-US"/>
        </w:rPr>
        <w:t xml:space="preserve"> </w:t>
      </w:r>
      <w:r>
        <w:rPr>
          <w:rFonts w:cs="Garamond" w:ascii="Garamond" w:hAnsi="Garamond"/>
          <w:iCs/>
          <w:sz w:val="20"/>
          <w:szCs w:val="20"/>
          <w:lang w:val="en-US"/>
        </w:rPr>
        <w:t>Pachur, Kröpelin, 1987</w:t>
      </w:r>
      <w:r>
        <w:rPr>
          <w:rFonts w:cs="Garamond" w:ascii="Garamond" w:hAnsi="Garamond"/>
          <w:sz w:val="20"/>
          <w:szCs w:val="20"/>
          <w:lang w:val="en-US"/>
        </w:rPr>
        <w:t>].</w:t>
      </w:r>
    </w:p>
  </w:footnote>
  <w:footnote w:id="11">
    <w:p>
      <w:pPr>
        <w:pStyle w:val="Style27"/>
        <w:ind w:end="-31" w:hanging="0"/>
        <w:jc w:val="both"/>
        <w:rPr/>
      </w:pPr>
      <w:r>
        <w:rPr>
          <w:rStyle w:val="Style10"/>
        </w:rPr>
        <w:footnoteRef/>
      </w:r>
      <w:r>
        <w:rPr>
          <w:rFonts w:cs="Garamond" w:ascii="Garamond" w:hAnsi="Garamond"/>
          <w:sz w:val="20"/>
          <w:szCs w:val="20"/>
        </w:rPr>
        <w:t xml:space="preserve"> </w:t>
      </w:r>
      <w:r>
        <w:rPr>
          <w:rFonts w:cs="Garamond" w:ascii="Garamond" w:hAnsi="Garamond"/>
          <w:sz w:val="20"/>
          <w:szCs w:val="20"/>
        </w:rPr>
        <w:t xml:space="preserve">Египетский неолит датируется </w:t>
      </w:r>
      <w:r>
        <w:rPr>
          <w:rFonts w:cs="Garamond" w:ascii="Garamond" w:hAnsi="Garamond"/>
          <w:sz w:val="20"/>
          <w:szCs w:val="20"/>
          <w:lang w:val="en-US"/>
        </w:rPr>
        <w:t>VI</w:t>
      </w:r>
      <w:r>
        <w:rPr>
          <w:rFonts w:cs="Garamond" w:ascii="Garamond" w:hAnsi="Garamond"/>
          <w:sz w:val="20"/>
          <w:szCs w:val="20"/>
        </w:rPr>
        <w:t xml:space="preserve"> — серединой </w:t>
      </w:r>
      <w:r>
        <w:rPr>
          <w:rFonts w:cs="Garamond" w:ascii="Garamond" w:hAnsi="Garamond"/>
          <w:sz w:val="20"/>
          <w:szCs w:val="20"/>
          <w:lang w:val="en-US"/>
        </w:rPr>
        <w:t>IV</w:t>
      </w:r>
      <w:r>
        <w:rPr>
          <w:rFonts w:cs="Garamond" w:ascii="Garamond" w:hAnsi="Garamond"/>
          <w:sz w:val="20"/>
          <w:szCs w:val="20"/>
        </w:rPr>
        <w:t xml:space="preserve"> тыс. до н. э.</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single" w:sz="12" w:space="0" w:color="000000"/>
          </w:tcBorders>
        </w:tcPr>
        <w:p>
          <w:pPr>
            <w:pStyle w:val="Style28"/>
            <w:jc w:val="center"/>
            <w:rPr>
              <w:rFonts w:ascii="Garamond" w:hAnsi="Garamond" w:cs="Garamond"/>
              <w:color w:val="000000"/>
            </w:rPr>
          </w:pPr>
          <w:r>
            <w:rPr>
              <w:rFonts w:cs="Garamond" w:ascii="Garamond" w:hAnsi="Garamond"/>
            </w:rPr>
            <w:t xml:space="preserve">Прусаков Д. Б. </w:t>
          </w:r>
          <w:r>
            <w:rPr>
              <w:rFonts w:cs="Garamond" w:ascii="Garamond" w:hAnsi="Garamond"/>
              <w:bCs/>
            </w:rPr>
            <w:t>Загадки додинастической петроглифики с поправкой на климат и гидрологию...</w:t>
          </w:r>
        </w:p>
        <w:p>
          <w:pPr>
            <w:pStyle w:val="Style28"/>
            <w:jc w:val="center"/>
            <w:rPr>
              <w:rFonts w:ascii="Garamond" w:hAnsi="Garamond" w:cs="Garamond"/>
              <w:color w:val="000000"/>
              <w:sz w:val="8"/>
              <w:szCs w:val="8"/>
            </w:rPr>
          </w:pPr>
          <w:r>
            <w:rPr>
              <w:rFonts w:cs="Garamond" w:ascii="Garamond" w:hAnsi="Garamond"/>
              <w:color w:val="000000"/>
              <w:sz w:val="8"/>
              <w:szCs w:val="8"/>
            </w:rPr>
          </w:r>
        </w:p>
      </w:tc>
    </w:tr>
  </w:tbl>
  <w:p>
    <w:pPr>
      <w:pStyle w:val="Style28"/>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none"/>
      <w:suff w:val="nothing"/>
      <w:lvlText w:val=""/>
      <w:lvlJc w:val="start"/>
      <w:pPr>
        <w:tabs>
          <w:tab w:val="num" w:pos="0"/>
        </w:tabs>
        <w:ind w:start="0" w:hanging="0"/>
      </w:pPr>
    </w:lvl>
    <w:lvl w:ilvl="1">
      <w:start w:val="1"/>
      <w:pStyle w:val="2"/>
      <w:numFmt w:val="none"/>
      <w:suff w:val="nothing"/>
      <w:lvlText w:val=""/>
      <w:lvlJc w:val="start"/>
      <w:pPr>
        <w:tabs>
          <w:tab w:val="num" w:pos="0"/>
        </w:tabs>
        <w:ind w:start="0" w:hanging="0"/>
      </w:pPr>
    </w:lvl>
    <w:lvl w:ilvl="2">
      <w:start w:val="1"/>
      <w:pStyle w:val="3"/>
      <w:numFmt w:val="none"/>
      <w:suff w:val="nothing"/>
      <w:lvlText w:val=""/>
      <w:lvlJc w:val="start"/>
      <w:pPr>
        <w:tabs>
          <w:tab w:val="num" w:pos="0"/>
        </w:tabs>
        <w:ind w:start="0" w:hanging="0"/>
      </w:pPr>
    </w:lvl>
    <w:lvl w:ilvl="3">
      <w:start w:val="1"/>
      <w:pStyle w:val="4"/>
      <w:numFmt w:val="none"/>
      <w:suff w:val="nothing"/>
      <w:lvlText w:val=""/>
      <w:lvlJc w:val="start"/>
      <w:pPr>
        <w:tabs>
          <w:tab w:val="num" w:pos="0"/>
        </w:tabs>
        <w:ind w:start="0" w:hanging="0"/>
      </w:pPr>
    </w:lvl>
    <w:lvl w:ilvl="4">
      <w:start w:val="1"/>
      <w:pStyle w:val="5"/>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abstractNum w:abstractNumId="2">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440"/>
        </w:tabs>
        <w:ind w:start="1440" w:hanging="360"/>
      </w:pPr>
      <w:rPr>
        <w:rFonts w:ascii="Symbol" w:hAnsi="Symbol" w:cs="Symbol" w:hint="default"/>
      </w:rPr>
    </w:lvl>
    <w:lvl w:ilvl="2">
      <w:start w:val="1"/>
      <w:numFmt w:val="bullet"/>
      <w:lvlText w:val=""/>
      <w:lvlJc w:val="start"/>
      <w:pPr>
        <w:tabs>
          <w:tab w:val="num" w:pos="2160"/>
        </w:tabs>
        <w:ind w:start="2160" w:hanging="360"/>
      </w:pPr>
      <w:rPr>
        <w:rFonts w:ascii="Symbol" w:hAnsi="Symbol" w:cs="Symbol" w:hint="default"/>
      </w:rPr>
    </w:lvl>
    <w:lvl w:ilvl="3">
      <w:start w:val="1"/>
      <w:numFmt w:val="bullet"/>
      <w:lvlText w:val=""/>
      <w:lvlJc w:val="start"/>
      <w:pPr>
        <w:tabs>
          <w:tab w:val="num" w:pos="2880"/>
        </w:tabs>
        <w:ind w:start="2880" w:hanging="360"/>
      </w:pPr>
      <w:rPr>
        <w:rFonts w:ascii="Symbol" w:hAnsi="Symbol" w:cs="Symbol" w:hint="default"/>
      </w:rPr>
    </w:lvl>
    <w:lvl w:ilvl="4">
      <w:start w:val="1"/>
      <w:numFmt w:val="bullet"/>
      <w:lvlText w:val=""/>
      <w:lvlJc w:val="start"/>
      <w:pPr>
        <w:tabs>
          <w:tab w:val="num" w:pos="3600"/>
        </w:tabs>
        <w:ind w:start="3600" w:hanging="360"/>
      </w:pPr>
      <w:rPr>
        <w:rFonts w:ascii="Symbol" w:hAnsi="Symbol" w:cs="Symbol" w:hint="default"/>
      </w:rPr>
    </w:lvl>
    <w:lvl w:ilvl="5">
      <w:start w:val="1"/>
      <w:numFmt w:val="bullet"/>
      <w:lvlText w:val=""/>
      <w:lvlJc w:val="start"/>
      <w:pPr>
        <w:tabs>
          <w:tab w:val="num" w:pos="4320"/>
        </w:tabs>
        <w:ind w:start="4320" w:hanging="360"/>
      </w:pPr>
      <w:rPr>
        <w:rFonts w:ascii="Symbol" w:hAnsi="Symbol" w:cs="Symbol" w:hint="default"/>
      </w:rPr>
    </w:lvl>
    <w:lvl w:ilvl="6">
      <w:start w:val="1"/>
      <w:numFmt w:val="bullet"/>
      <w:lvlText w:val=""/>
      <w:lvlJc w:val="start"/>
      <w:pPr>
        <w:tabs>
          <w:tab w:val="num" w:pos="5040"/>
        </w:tabs>
        <w:ind w:start="5040" w:hanging="360"/>
      </w:pPr>
      <w:rPr>
        <w:rFonts w:ascii="Symbol" w:hAnsi="Symbol" w:cs="Symbol" w:hint="default"/>
      </w:rPr>
    </w:lvl>
    <w:lvl w:ilvl="7">
      <w:start w:val="1"/>
      <w:numFmt w:val="bullet"/>
      <w:lvlText w:val=""/>
      <w:lvlJc w:val="start"/>
      <w:pPr>
        <w:tabs>
          <w:tab w:val="num" w:pos="5760"/>
        </w:tabs>
        <w:ind w:start="5760" w:hanging="360"/>
      </w:pPr>
      <w:rPr>
        <w:rFonts w:ascii="Symbol" w:hAnsi="Symbol" w:cs="Symbol" w:hint="default"/>
      </w:rPr>
    </w:lvl>
    <w:lvl w:ilvl="8">
      <w:start w:val="1"/>
      <w:numFmt w:val="bullet"/>
      <w:lvlText w:val=""/>
      <w:lvlJc w:val="start"/>
      <w:pPr>
        <w:tabs>
          <w:tab w:val="num" w:pos="6480"/>
        </w:tabs>
        <w:ind w:start="6480" w:hanging="360"/>
      </w:pPr>
      <w:rPr>
        <w:rFonts w:ascii="Symbol" w:hAnsi="Symbol" w:cs="Symbol" w:hint="default"/>
      </w:rPr>
    </w:lvl>
  </w:abstractNum>
  <w:num w:numId="1">
    <w:abstractNumId w:val="1"/>
  </w:num>
  <w:num w:numId="2">
    <w:abstractNumId w:val="2"/>
  </w:num>
</w:numbering>
</file>

<file path=word/settings.xml><?xml version="1.0" encoding="utf-8"?>
<w:settings xmlns:w="http://schemas.openxmlformats.org/wordprocessingml/2006/main">
  <w:zoom w:percent="150"/>
  <w:defaultTabStop w:val="709"/>
  <w:autoHyphenation w:val="true"/>
  <w:footnotePr>
    <w:numFmt w:val="chicago"/>
    <w:numRestart w:val="eachSect"/>
    <w:footnote w:id="0"/>
    <w:footnote w:id="1"/>
  </w:footnotePr>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sz w:val="24"/>
        <w:szCs w:val="24"/>
        <w:lang w:val="ru-RU" w:eastAsia="zh-CN" w:bidi="hi-IN"/>
      </w:rPr>
    </w:rPrDefault>
    <w:pPrDefault>
      <w:pPr>
        <w:suppressAutoHyphens w:val="true"/>
      </w:pPr>
    </w:pPrDefault>
  </w:docDefaults>
  <w:style w:type="paragraph" w:styleId="Normal">
    <w:name w:val="Normal"/>
    <w:qFormat/>
    <w:pPr>
      <w:widowControl/>
      <w:bidi w:val="0"/>
    </w:pPr>
    <w:rPr>
      <w:rFonts w:ascii="Times New Roman" w:hAnsi="Times New Roman" w:eastAsia="Times New Roman" w:cs="Times New Roman"/>
      <w:color w:val="auto"/>
      <w:sz w:val="20"/>
      <w:szCs w:val="20"/>
      <w:lang w:val="ru-RU" w:bidi="ar-SA" w:eastAsia="zh-CN"/>
    </w:rPr>
  </w:style>
  <w:style w:type="paragraph" w:styleId="1">
    <w:name w:val="Heading 1"/>
    <w:basedOn w:val="Normal"/>
    <w:next w:val="Normal"/>
    <w:qFormat/>
    <w:pPr>
      <w:keepNext w:val="true"/>
      <w:numPr>
        <w:ilvl w:val="0"/>
        <w:numId w:val="1"/>
      </w:numPr>
      <w:spacing w:before="240" w:after="60"/>
      <w:outlineLvl w:val="0"/>
    </w:pPr>
    <w:rPr>
      <w:rFonts w:ascii="Arial" w:hAnsi="Arial" w:cs="Arial"/>
      <w:b/>
      <w:bCs/>
      <w:kern w:val="2"/>
      <w:sz w:val="32"/>
      <w:szCs w:val="32"/>
    </w:rPr>
  </w:style>
  <w:style w:type="paragraph" w:styleId="2">
    <w:name w:val="Heading 2"/>
    <w:basedOn w:val="Normal"/>
    <w:next w:val="Normal"/>
    <w:qFormat/>
    <w:pPr>
      <w:keepNext w:val="true"/>
      <w:numPr>
        <w:ilvl w:val="1"/>
        <w:numId w:val="1"/>
      </w:numPr>
      <w:spacing w:before="240" w:after="60"/>
      <w:outlineLvl w:val="1"/>
    </w:pPr>
    <w:rPr>
      <w:rFonts w:ascii="Arial" w:hAnsi="Arial" w:cs="Arial"/>
      <w:b/>
      <w:bCs/>
      <w:i/>
      <w:iCs/>
      <w:sz w:val="28"/>
      <w:szCs w:val="28"/>
    </w:rPr>
  </w:style>
  <w:style w:type="paragraph" w:styleId="3">
    <w:name w:val="Heading 3"/>
    <w:basedOn w:val="Normal"/>
    <w:next w:val="Style21"/>
    <w:qFormat/>
    <w:pPr>
      <w:numPr>
        <w:ilvl w:val="2"/>
        <w:numId w:val="1"/>
      </w:numPr>
      <w:spacing w:before="280" w:after="280"/>
      <w:outlineLvl w:val="2"/>
    </w:pPr>
    <w:rPr>
      <w:b/>
      <w:bCs/>
      <w:sz w:val="27"/>
      <w:szCs w:val="27"/>
    </w:rPr>
  </w:style>
  <w:style w:type="paragraph" w:styleId="4">
    <w:name w:val="Heading 4"/>
    <w:basedOn w:val="Normal"/>
    <w:next w:val="Normal"/>
    <w:qFormat/>
    <w:pPr>
      <w:keepNext w:val="true"/>
      <w:numPr>
        <w:ilvl w:val="3"/>
        <w:numId w:val="1"/>
      </w:numPr>
      <w:spacing w:before="240" w:after="60"/>
      <w:outlineLvl w:val="3"/>
    </w:pPr>
    <w:rPr>
      <w:b/>
      <w:bCs/>
      <w:sz w:val="28"/>
      <w:szCs w:val="28"/>
    </w:rPr>
  </w:style>
  <w:style w:type="paragraph" w:styleId="5">
    <w:name w:val="Heading 5"/>
    <w:basedOn w:val="Normal"/>
    <w:next w:val="Style21"/>
    <w:qFormat/>
    <w:pPr>
      <w:numPr>
        <w:ilvl w:val="4"/>
        <w:numId w:val="1"/>
      </w:numPr>
      <w:spacing w:before="280" w:after="280"/>
      <w:outlineLvl w:val="4"/>
    </w:pPr>
    <w:rPr>
      <w:rFonts w:ascii="Times" w:hAnsi="Times" w:eastAsia="MS Mincho;MS Gothic" w:cs="Times New Roman"/>
      <w:b/>
      <w:bCs/>
    </w:rPr>
  </w:style>
  <w:style w:type="character" w:styleId="WW8Num1z0">
    <w:name w:val="WW8Num1z0"/>
    <w:qFormat/>
    <w:rPr>
      <w:rFonts w:ascii="Symbol" w:hAnsi="Symbol" w:cs="Symbol"/>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rFonts w:ascii="Symbol" w:hAnsi="Symbol" w:cs="Symbol"/>
      <w:sz w:val="20"/>
    </w:rPr>
  </w:style>
  <w:style w:type="character" w:styleId="WW8Num4z0">
    <w:name w:val="WW8Num4z0"/>
    <w:qFormat/>
    <w:rPr>
      <w:rFonts w:ascii="Symbol" w:hAnsi="Symbol" w:eastAsia="Times New Roman" w:cs="Times New Roman"/>
    </w:rPr>
  </w:style>
  <w:style w:type="character" w:styleId="WW8Num4z1">
    <w:name w:val="WW8Num4z1"/>
    <w:qFormat/>
    <w:rPr>
      <w:rFonts w:ascii="Courier New" w:hAnsi="Courier New" w:cs="Courier New"/>
    </w:rPr>
  </w:style>
  <w:style w:type="character" w:styleId="WW8Num4z2">
    <w:name w:val="WW8Num4z2"/>
    <w:qFormat/>
    <w:rPr>
      <w:rFonts w:ascii="Wingdings" w:hAnsi="Wingdings" w:cs="Wingdings"/>
    </w:rPr>
  </w:style>
  <w:style w:type="character" w:styleId="WW8Num4z3">
    <w:name w:val="WW8Num4z3"/>
    <w:qFormat/>
    <w:rPr>
      <w:rFonts w:ascii="Symbol" w:hAnsi="Symbol" w:cs="Symbol"/>
    </w:rPr>
  </w:style>
  <w:style w:type="character" w:styleId="WW8Num5z0">
    <w:name w:val="WW8Num5z0"/>
    <w:qFormat/>
    <w:rPr>
      <w:rFonts w:ascii="Symbol" w:hAnsi="Symbol" w:cs="Symbol"/>
      <w:sz w:val="20"/>
    </w:rPr>
  </w:style>
  <w:style w:type="character" w:styleId="WW8Num5z1">
    <w:name w:val="WW8Num5z1"/>
    <w:qFormat/>
    <w:rPr>
      <w:rFonts w:ascii="Courier New" w:hAnsi="Courier New" w:cs="Courier New"/>
      <w:sz w:val="20"/>
    </w:rPr>
  </w:style>
  <w:style w:type="character" w:styleId="WW8Num5z2">
    <w:name w:val="WW8Num5z2"/>
    <w:qFormat/>
    <w:rPr>
      <w:rFonts w:ascii="Wingdings" w:hAnsi="Wingdings" w:cs="Wingdings"/>
      <w:sz w:val="20"/>
    </w:rPr>
  </w:style>
  <w:style w:type="character" w:styleId="WW8Num6z0">
    <w:name w:val="WW8Num6z0"/>
    <w:qFormat/>
    <w:rPr>
      <w:rFonts w:ascii="Symbol" w:hAnsi="Symbol" w:cs="Symbol"/>
      <w:sz w:val="20"/>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rFonts w:ascii="Symbol" w:hAnsi="Symbol" w:cs="Symbol"/>
      <w:sz w:val="20"/>
    </w:rPr>
  </w:style>
  <w:style w:type="character" w:styleId="Style9">
    <w:name w:val="Основной шрифт абзаца"/>
    <w:qFormat/>
    <w:rPr/>
  </w:style>
  <w:style w:type="character" w:styleId="FooterChar">
    <w:name w:val="Footer Char"/>
    <w:qFormat/>
    <w:rPr>
      <w:rFonts w:ascii="Times New Roman" w:hAnsi="Times New Roman" w:eastAsia="Times New Roman" w:cs="Times New Roman"/>
      <w:sz w:val="20"/>
      <w:szCs w:val="20"/>
    </w:rPr>
  </w:style>
  <w:style w:type="character" w:styleId="FootnoteTextChar">
    <w:name w:val="Footnote Text Char"/>
    <w:qFormat/>
    <w:rPr>
      <w:rFonts w:ascii="Times New Roman" w:hAnsi="Times New Roman" w:eastAsia="Times New Roman" w:cs="Times New Roman"/>
    </w:rPr>
  </w:style>
  <w:style w:type="character" w:styleId="Style10">
    <w:name w:val="Символ сноски"/>
    <w:qFormat/>
    <w:rPr>
      <w:vertAlign w:val="superscript"/>
    </w:rPr>
  </w:style>
  <w:style w:type="character" w:styleId="BodyTextChar">
    <w:name w:val="Body Text Char"/>
    <w:qFormat/>
    <w:rPr>
      <w:rFonts w:ascii="Times New Roman" w:hAnsi="Times New Roman" w:cs="Times New Roman"/>
      <w:b/>
      <w:bCs/>
      <w:sz w:val="18"/>
      <w:szCs w:val="18"/>
      <w:lang w:val="en-US"/>
    </w:rPr>
  </w:style>
  <w:style w:type="character" w:styleId="Appleconvertedspace">
    <w:name w:val="apple-converted-space"/>
    <w:basedOn w:val="Style9"/>
    <w:qFormat/>
    <w:rPr/>
  </w:style>
  <w:style w:type="character" w:styleId="Heading5Char">
    <w:name w:val="Heading 5 Char"/>
    <w:qFormat/>
    <w:rPr>
      <w:rFonts w:ascii="Times" w:hAnsi="Times" w:cs="Times"/>
      <w:b/>
      <w:bCs/>
      <w:sz w:val="20"/>
      <w:szCs w:val="20"/>
    </w:rPr>
  </w:style>
  <w:style w:type="character" w:styleId="Style11">
    <w:name w:val="Интернет-ссылка"/>
    <w:rPr>
      <w:color w:val="0000FF"/>
      <w:u w:val="single"/>
    </w:rPr>
  </w:style>
  <w:style w:type="character" w:styleId="Style12">
    <w:name w:val="Посещённая гиперссылка"/>
    <w:rPr>
      <w:color w:val="800080"/>
      <w:u w:val="single"/>
    </w:rPr>
  </w:style>
  <w:style w:type="character" w:styleId="Style13">
    <w:name w:val="Номер страницы"/>
    <w:basedOn w:val="Style9"/>
    <w:rPr/>
  </w:style>
  <w:style w:type="character" w:styleId="Style14">
    <w:name w:val="Выделение"/>
    <w:qFormat/>
    <w:rPr>
      <w:i/>
      <w:iCs/>
    </w:rPr>
  </w:style>
  <w:style w:type="character" w:styleId="HTML">
    <w:name w:val="Цитата HTML"/>
    <w:qFormat/>
    <w:rPr>
      <w:i/>
      <w:iCs/>
    </w:rPr>
  </w:style>
  <w:style w:type="character" w:styleId="Mwheadline">
    <w:name w:val="mw-headline"/>
    <w:basedOn w:val="Style9"/>
    <w:qFormat/>
    <w:rPr/>
  </w:style>
  <w:style w:type="character" w:styleId="Mweditsection">
    <w:name w:val="mw-editsection"/>
    <w:basedOn w:val="Style9"/>
    <w:qFormat/>
    <w:rPr/>
  </w:style>
  <w:style w:type="character" w:styleId="Mweditsectionbracket">
    <w:name w:val="mw-editsection-bracket"/>
    <w:basedOn w:val="Style9"/>
    <w:qFormat/>
    <w:rPr/>
  </w:style>
  <w:style w:type="character" w:styleId="Name">
    <w:name w:val="name"/>
    <w:basedOn w:val="Style9"/>
    <w:qFormat/>
    <w:rPr/>
  </w:style>
  <w:style w:type="character" w:styleId="Surname">
    <w:name w:val="surname"/>
    <w:basedOn w:val="Style9"/>
    <w:qFormat/>
    <w:rPr/>
  </w:style>
  <w:style w:type="character" w:styleId="Givennames">
    <w:name w:val="given-names"/>
    <w:basedOn w:val="Style9"/>
    <w:qFormat/>
    <w:rPr/>
  </w:style>
  <w:style w:type="character" w:styleId="Year">
    <w:name w:val="year"/>
    <w:basedOn w:val="Style9"/>
    <w:qFormat/>
    <w:rPr/>
  </w:style>
  <w:style w:type="character" w:styleId="Chaptertitle">
    <w:name w:val="chapter-title"/>
    <w:basedOn w:val="Style9"/>
    <w:qFormat/>
    <w:rPr/>
  </w:style>
  <w:style w:type="character" w:styleId="Source">
    <w:name w:val="source"/>
    <w:basedOn w:val="Style9"/>
    <w:qFormat/>
    <w:rPr/>
  </w:style>
  <w:style w:type="character" w:styleId="Fpage">
    <w:name w:val="fpage"/>
    <w:basedOn w:val="Style9"/>
    <w:qFormat/>
    <w:rPr/>
  </w:style>
  <w:style w:type="character" w:styleId="Publisherloc">
    <w:name w:val="publisher-loc"/>
    <w:basedOn w:val="Style9"/>
    <w:qFormat/>
    <w:rPr/>
  </w:style>
  <w:style w:type="character" w:styleId="Publishername">
    <w:name w:val="publisher-name"/>
    <w:basedOn w:val="Style9"/>
    <w:qFormat/>
    <w:rPr/>
  </w:style>
  <w:style w:type="character" w:styleId="Nowrap">
    <w:name w:val="nowrap"/>
    <w:basedOn w:val="Style9"/>
    <w:qFormat/>
    <w:rPr/>
  </w:style>
  <w:style w:type="character" w:styleId="Style15">
    <w:name w:val="Выделение жирным"/>
    <w:qFormat/>
    <w:rPr>
      <w:b/>
      <w:bCs/>
    </w:rPr>
  </w:style>
  <w:style w:type="character" w:styleId="Sc">
    <w:name w:val="sc"/>
    <w:basedOn w:val="Style9"/>
    <w:qFormat/>
    <w:rPr/>
  </w:style>
  <w:style w:type="character" w:styleId="A">
    <w:name w:val="a"/>
    <w:basedOn w:val="Style9"/>
    <w:qFormat/>
    <w:rPr/>
  </w:style>
  <w:style w:type="character" w:styleId="L6">
    <w:name w:val="l6"/>
    <w:basedOn w:val="Style9"/>
    <w:qFormat/>
    <w:rPr/>
  </w:style>
  <w:style w:type="character" w:styleId="L7">
    <w:name w:val="l7"/>
    <w:basedOn w:val="Style9"/>
    <w:qFormat/>
    <w:rPr/>
  </w:style>
  <w:style w:type="character" w:styleId="L8">
    <w:name w:val="l8"/>
    <w:basedOn w:val="Style9"/>
    <w:qFormat/>
    <w:rPr/>
  </w:style>
  <w:style w:type="character" w:styleId="L9">
    <w:name w:val="l9"/>
    <w:basedOn w:val="Style9"/>
    <w:qFormat/>
    <w:rPr/>
  </w:style>
  <w:style w:type="character" w:styleId="L10">
    <w:name w:val="l10"/>
    <w:basedOn w:val="Style9"/>
    <w:qFormat/>
    <w:rPr/>
  </w:style>
  <w:style w:type="character" w:styleId="L12">
    <w:name w:val="l12"/>
    <w:basedOn w:val="Style9"/>
    <w:qFormat/>
    <w:rPr/>
  </w:style>
  <w:style w:type="character" w:styleId="Lastname">
    <w:name w:val="lastname"/>
    <w:basedOn w:val="Style9"/>
    <w:qFormat/>
    <w:rPr/>
  </w:style>
  <w:style w:type="character" w:styleId="Nlmsource">
    <w:name w:val="nlm_source"/>
    <w:basedOn w:val="Style9"/>
    <w:qFormat/>
    <w:rPr/>
  </w:style>
  <w:style w:type="character" w:styleId="Nlmsourcecontrib">
    <w:name w:val="nlm_source_contrib"/>
    <w:basedOn w:val="Style9"/>
    <w:qFormat/>
    <w:rPr/>
  </w:style>
  <w:style w:type="character" w:styleId="Familyname">
    <w:name w:val="familyname"/>
    <w:basedOn w:val="Style9"/>
    <w:qFormat/>
    <w:rPr/>
  </w:style>
  <w:style w:type="character" w:styleId="11">
    <w:name w:val="_ _1"/>
    <w:basedOn w:val="Style9"/>
    <w:qFormat/>
    <w:rPr/>
  </w:style>
  <w:style w:type="character" w:styleId="31">
    <w:name w:val="_ _3"/>
    <w:basedOn w:val="Style9"/>
    <w:qFormat/>
    <w:rPr/>
  </w:style>
  <w:style w:type="character" w:styleId="Ff3">
    <w:name w:val="ff3"/>
    <w:basedOn w:val="Style9"/>
    <w:qFormat/>
    <w:rPr/>
  </w:style>
  <w:style w:type="character" w:styleId="Ff1">
    <w:name w:val="ff1"/>
    <w:basedOn w:val="Style9"/>
    <w:qFormat/>
    <w:rPr/>
  </w:style>
  <w:style w:type="character" w:styleId="Lsf">
    <w:name w:val="lsf"/>
    <w:basedOn w:val="Style9"/>
    <w:qFormat/>
    <w:rPr/>
  </w:style>
  <w:style w:type="character" w:styleId="Lsfws6a">
    <w:name w:val="lsf ws6a"/>
    <w:basedOn w:val="Style9"/>
    <w:qFormat/>
    <w:rPr/>
  </w:style>
  <w:style w:type="character" w:styleId="Ff3ls5f">
    <w:name w:val="ff3 ls5f"/>
    <w:basedOn w:val="Style9"/>
    <w:qFormat/>
    <w:rPr/>
  </w:style>
  <w:style w:type="character" w:styleId="Ff1ls5e">
    <w:name w:val="ff1 ls5e"/>
    <w:basedOn w:val="Style9"/>
    <w:qFormat/>
    <w:rPr/>
  </w:style>
  <w:style w:type="character" w:styleId="Ls5ews71">
    <w:name w:val="ls5e ws71"/>
    <w:basedOn w:val="Style9"/>
    <w:qFormat/>
    <w:rPr/>
  </w:style>
  <w:style w:type="character" w:styleId="Ws80">
    <w:name w:val="ws80"/>
    <w:basedOn w:val="Style9"/>
    <w:qFormat/>
    <w:rPr/>
  </w:style>
  <w:style w:type="character" w:styleId="Ff3ls90v0">
    <w:name w:val="ff3 ls90 v0"/>
    <w:basedOn w:val="Style9"/>
    <w:qFormat/>
    <w:rPr/>
  </w:style>
  <w:style w:type="character" w:styleId="Ls91v0">
    <w:name w:val="ls91 v0"/>
    <w:basedOn w:val="Style9"/>
    <w:qFormat/>
    <w:rPr/>
  </w:style>
  <w:style w:type="character" w:styleId="Ff3ls77ws80">
    <w:name w:val="ff3 ls77 ws80"/>
    <w:basedOn w:val="Style9"/>
    <w:qFormat/>
    <w:rPr/>
  </w:style>
  <w:style w:type="character" w:styleId="Ff1lsfwsa">
    <w:name w:val="ff1 lsf wsa"/>
    <w:basedOn w:val="Style9"/>
    <w:qFormat/>
    <w:rPr/>
  </w:style>
  <w:style w:type="character" w:styleId="Wsa">
    <w:name w:val="wsa"/>
    <w:basedOn w:val="Style9"/>
    <w:qFormat/>
    <w:rPr/>
  </w:style>
  <w:style w:type="character" w:styleId="Ws94">
    <w:name w:val="ws94"/>
    <w:basedOn w:val="Style9"/>
    <w:qFormat/>
    <w:rPr/>
  </w:style>
  <w:style w:type="character" w:styleId="Ff3lsfws6av0">
    <w:name w:val="ff3 lsf ws6a v0"/>
    <w:basedOn w:val="Style9"/>
    <w:qFormat/>
    <w:rPr/>
  </w:style>
  <w:style w:type="character" w:styleId="Ff1wsa">
    <w:name w:val="ff1 wsa"/>
    <w:basedOn w:val="Style9"/>
    <w:qFormat/>
    <w:rPr/>
  </w:style>
  <w:style w:type="character" w:styleId="Ff4ws6b">
    <w:name w:val="ff4 ws6b"/>
    <w:basedOn w:val="Style9"/>
    <w:qFormat/>
    <w:rPr/>
  </w:style>
  <w:style w:type="character" w:styleId="Authorslistitem">
    <w:name w:val="authors-list-item"/>
    <w:basedOn w:val="Style9"/>
    <w:qFormat/>
    <w:rPr/>
  </w:style>
  <w:style w:type="character" w:styleId="Comma">
    <w:name w:val="comma"/>
    <w:basedOn w:val="Style9"/>
    <w:qFormat/>
    <w:rPr/>
  </w:style>
  <w:style w:type="character" w:styleId="Idlabel">
    <w:name w:val="id-label"/>
    <w:basedOn w:val="Style9"/>
    <w:qFormat/>
    <w:rPr/>
  </w:style>
  <w:style w:type="character" w:styleId="Identifierdoi">
    <w:name w:val="identifier doi"/>
    <w:basedOn w:val="Style9"/>
    <w:qFormat/>
    <w:rPr/>
  </w:style>
  <w:style w:type="character" w:styleId="Title">
    <w:name w:val="title"/>
    <w:basedOn w:val="Style9"/>
    <w:qFormat/>
    <w:rPr/>
  </w:style>
  <w:style w:type="character" w:styleId="Subtitle">
    <w:name w:val="subtitle"/>
    <w:basedOn w:val="Style9"/>
    <w:qFormat/>
    <w:rPr/>
  </w:style>
  <w:style w:type="character" w:styleId="Asizeextralarge">
    <w:name w:val="a-size-extra-large"/>
    <w:basedOn w:val="Style9"/>
    <w:qFormat/>
    <w:rPr/>
  </w:style>
  <w:style w:type="character" w:styleId="Style16">
    <w:name w:val=" Знак Знак"/>
    <w:qFormat/>
    <w:rPr>
      <w:lang w:val="ru-RU" w:bidi="ar-SA"/>
    </w:rPr>
  </w:style>
  <w:style w:type="character" w:styleId="WW8Dropcap0">
    <w:name w:val="WW8Dropcap0"/>
    <w:qFormat/>
    <w:rPr>
      <w:rFonts w:ascii="Garamond" w:hAnsi="Garamond" w:cs="Garamond"/>
      <w:sz w:val="112"/>
      <w:szCs w:val="112"/>
    </w:rPr>
  </w:style>
  <w:style w:type="character" w:styleId="Style17">
    <w:name w:val="Привязка сноски"/>
    <w:rPr>
      <w:vertAlign w:val="superscript"/>
    </w:rPr>
  </w:style>
  <w:style w:type="character" w:styleId="Style18">
    <w:name w:val="Привязка концевой сноски"/>
    <w:rPr>
      <w:vertAlign w:val="superscript"/>
    </w:rPr>
  </w:style>
  <w:style w:type="character" w:styleId="Style19">
    <w:name w:val="Символ концевой сноски"/>
    <w:qFormat/>
    <w:rPr/>
  </w:style>
  <w:style w:type="paragraph" w:styleId="Style20">
    <w:name w:val="Заголовок"/>
    <w:basedOn w:val="Normal"/>
    <w:next w:val="Style21"/>
    <w:qFormat/>
    <w:pPr>
      <w:keepNext w:val="true"/>
      <w:spacing w:before="240" w:after="120"/>
    </w:pPr>
    <w:rPr>
      <w:rFonts w:ascii="Liberation Sans" w:hAnsi="Liberation Sans" w:eastAsia="Noto Sans CJK SC" w:cs="Lohit Devanagari"/>
      <w:sz w:val="28"/>
      <w:szCs w:val="28"/>
    </w:rPr>
  </w:style>
  <w:style w:type="paragraph" w:styleId="Style21">
    <w:name w:val="Body Text"/>
    <w:basedOn w:val="Normal"/>
    <w:pPr>
      <w:widowControl w:val="false"/>
      <w:autoSpaceDE w:val="false"/>
      <w:ind w:start="40" w:hanging="0"/>
    </w:pPr>
    <w:rPr>
      <w:rFonts w:eastAsia="MS Mincho;MS Gothic"/>
      <w:b/>
      <w:bCs/>
      <w:sz w:val="18"/>
      <w:szCs w:val="18"/>
      <w:lang w:val="en-US"/>
    </w:rPr>
  </w:style>
  <w:style w:type="paragraph" w:styleId="Style22">
    <w:name w:val="List"/>
    <w:basedOn w:val="Style21"/>
    <w:pPr/>
    <w:rPr>
      <w:rFonts w:cs="Lohit Devanagari"/>
    </w:rPr>
  </w:style>
  <w:style w:type="paragraph" w:styleId="Style23">
    <w:name w:val="Caption"/>
    <w:basedOn w:val="Normal"/>
    <w:qFormat/>
    <w:pPr>
      <w:suppressLineNumbers/>
      <w:spacing w:before="120" w:after="120"/>
    </w:pPr>
    <w:rPr>
      <w:rFonts w:cs="Lohit Devanagari"/>
      <w:i/>
      <w:iCs/>
      <w:sz w:val="24"/>
      <w:szCs w:val="24"/>
    </w:rPr>
  </w:style>
  <w:style w:type="paragraph" w:styleId="Style24">
    <w:name w:val="Указатель"/>
    <w:basedOn w:val="Normal"/>
    <w:qFormat/>
    <w:pPr>
      <w:suppressLineNumbers/>
    </w:pPr>
    <w:rPr>
      <w:rFonts w:cs="Lohit Devanagari"/>
    </w:rPr>
  </w:style>
  <w:style w:type="paragraph" w:styleId="Style25">
    <w:name w:val="Верхний и нижний колонтитулы"/>
    <w:basedOn w:val="Normal"/>
    <w:qFormat/>
    <w:pPr>
      <w:suppressLineNumbers/>
      <w:tabs>
        <w:tab w:val="clear" w:pos="709"/>
        <w:tab w:val="center" w:pos="4819" w:leader="none"/>
        <w:tab w:val="right" w:pos="9638" w:leader="none"/>
      </w:tabs>
    </w:pPr>
    <w:rPr/>
  </w:style>
  <w:style w:type="paragraph" w:styleId="Style26">
    <w:name w:val="Footer"/>
    <w:basedOn w:val="Normal"/>
    <w:pPr/>
    <w:rPr/>
  </w:style>
  <w:style w:type="paragraph" w:styleId="Style27">
    <w:name w:val="Footnote Text"/>
    <w:basedOn w:val="Normal"/>
    <w:pPr/>
    <w:rPr>
      <w:sz w:val="24"/>
      <w:szCs w:val="24"/>
    </w:rPr>
  </w:style>
  <w:style w:type="paragraph" w:styleId="ListParagraph">
    <w:name w:val="List Paragraph"/>
    <w:basedOn w:val="Normal"/>
    <w:qFormat/>
    <w:pPr>
      <w:spacing w:before="0" w:after="0"/>
      <w:ind w:start="720" w:hanging="0"/>
      <w:contextualSpacing/>
    </w:pPr>
    <w:rPr/>
  </w:style>
  <w:style w:type="paragraph" w:styleId="Style28">
    <w:name w:val="Header"/>
    <w:basedOn w:val="Normal"/>
    <w:pPr>
      <w:tabs>
        <w:tab w:val="clear" w:pos="709"/>
        <w:tab w:val="center" w:pos="4677" w:leader="none"/>
        <w:tab w:val="right" w:pos="9355" w:leader="none"/>
      </w:tabs>
    </w:pPr>
    <w:rPr/>
  </w:style>
  <w:style w:type="paragraph" w:styleId="Style29">
    <w:name w:val="Обычный (веб)"/>
    <w:basedOn w:val="Normal"/>
    <w:qFormat/>
    <w:pPr>
      <w:spacing w:before="280" w:after="280"/>
    </w:pPr>
    <w:rPr>
      <w:sz w:val="24"/>
      <w:szCs w:val="24"/>
    </w:rPr>
  </w:style>
  <w:style w:type="paragraph" w:styleId="Msonormalmailrucssattributepostfix">
    <w:name w:val="msonormal_mailru_css_attribute_postfix"/>
    <w:basedOn w:val="Normal"/>
    <w:qFormat/>
    <w:pPr>
      <w:spacing w:before="280" w:after="280"/>
    </w:pPr>
    <w:rPr>
      <w:sz w:val="24"/>
      <w:szCs w:val="24"/>
    </w:rPr>
  </w:style>
  <w:style w:type="paragraph" w:styleId="Style30">
    <w:name w:val="Маркированный список"/>
    <w:basedOn w:val="Normal"/>
    <w:qFormat/>
    <w:pPr>
      <w:numPr>
        <w:ilvl w:val="0"/>
        <w:numId w:val="2"/>
      </w:numPr>
    </w:pPr>
    <w:rPr>
      <w:sz w:val="24"/>
      <w:szCs w:val="24"/>
    </w:rPr>
  </w:style>
  <w:style w:type="paragraph" w:styleId="12">
    <w:name w:val="Обычный+1"/>
    <w:basedOn w:val="Normal"/>
    <w:next w:val="Normal"/>
    <w:qFormat/>
    <w:pPr>
      <w:autoSpaceDE w:val="false"/>
    </w:pPr>
    <w:rPr>
      <w:rFonts w:ascii="Garamond" w:hAnsi="Garamond" w:cs="Garamond"/>
      <w:sz w:val="24"/>
      <w:szCs w:val="24"/>
    </w:rPr>
  </w:style>
  <w:style w:type="paragraph" w:styleId="Default">
    <w:name w:val="Default"/>
    <w:qFormat/>
    <w:pPr>
      <w:widowControl/>
      <w:autoSpaceDE w:val="false"/>
      <w:bidi w:val="0"/>
    </w:pPr>
    <w:rPr>
      <w:rFonts w:ascii="Deja Vu Serif;Times New Roman" w:hAnsi="Deja Vu Serif;Times New Roman" w:eastAsia="Times New Roman" w:cs="Deja Vu Serif;Times New Roman"/>
      <w:color w:val="000000"/>
      <w:sz w:val="24"/>
      <w:szCs w:val="24"/>
      <w:lang w:val="ru-RU" w:bidi="ar-SA" w:eastAsia="zh-CN"/>
    </w:rPr>
  </w:style>
  <w:style w:type="paragraph" w:styleId="Style31">
    <w:name w:val="Содержимое таблицы"/>
    <w:basedOn w:val="Normal"/>
    <w:qFormat/>
    <w:pPr>
      <w:widowControl w:val="false"/>
      <w:suppressLineNumbers/>
    </w:pPr>
    <w:rPr/>
  </w:style>
  <w:style w:type="paragraph" w:styleId="Style32">
    <w:name w:val="Заголовок таблицы"/>
    <w:basedOn w:val="Style31"/>
    <w:qFormat/>
    <w:pPr>
      <w:suppressLineNumbers/>
      <w:jc w:val="center"/>
    </w:pPr>
    <w:rPr>
      <w:b/>
      <w:bCs/>
    </w:rPr>
  </w:style>
  <w:style w:type="paragraph" w:styleId="Style33">
    <w:name w:val="Содержимое врезки"/>
    <w:basedOn w:val="Normal"/>
    <w:qFormat/>
    <w:pPr/>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hyperlink" Target="https://twitter.com/ClimatJazeera/status/1335496375107280896?ref_src=twsrc^tfw|twcamp^tweetembed|twterm^1335496375107280896|twgr^|twcon^s1_&amp;ref_url=https%3A%2F%2Fpogoda.mail.ru%2Fnews%2F44442248%2F" TargetMode="External"/><Relationship Id="rId13" Type="http://schemas.openxmlformats.org/officeDocument/2006/relationships/hyperlink" Target="https://twitter.com/ClimatJazeera/status/1335496375107280896?ref_src=twsrc^tfw|twcamp^tweetembed|twterm^1335496375107280896|twgr^|twcon^s1_&amp;ref_url=https%3A%2F%2Fpogoda.mail.ru%2Fnews%2F44442248%2F" TargetMode="External"/><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hyperlink" Target="https://twitter.com/ClimatJazeera/status/1335496375107280896?ref_src=twsrc^tfw|twcamp^tweetembed|twterm^1335496375107280896|twgr^|twcon^s1_&amp;ref_url=https%3A%2F%2Fpogoda.mail.ru%2Fnews%2F44442248%2F" TargetMode="External"/><Relationship Id="rId18" Type="http://schemas.openxmlformats.org/officeDocument/2006/relationships/header" Target="header1.xml"/><Relationship Id="rId19" Type="http://schemas.openxmlformats.org/officeDocument/2006/relationships/footer" Target="footer2.xml"/><Relationship Id="rId20" Type="http://schemas.openxmlformats.org/officeDocument/2006/relationships/footnotes" Target="footnotes.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
</Relationships>
</file>

<file path=word/_rels/footnotes.xml.rels><?xml version="1.0" encoding="UTF-8"?>
<Relationships xmlns="http://schemas.openxmlformats.org/package/2006/relationships"><Relationship Id="rId1" Type="http://schemas.openxmlformats.org/officeDocument/2006/relationships/hyperlink" Target="mailto:dmprusakov@mail.ru" TargetMode="External"/><Relationship Id="rId2" Type="http://schemas.openxmlformats.org/officeDocument/2006/relationships/hyperlink" Target="mailto:dmprusakov@mail.ru" TargetMode="External"/><Relationship Id="rId3" Type="http://schemas.openxmlformats.org/officeDocument/2006/relationships/hyperlink" Target="https://orcid.org/0000-0001-6065-4610" TargetMode="External"/>
</Relationships>
</file>

<file path=docProps/app.xml><?xml version="1.0" encoding="utf-8"?>
<Properties xmlns="http://schemas.openxmlformats.org/officeDocument/2006/extended-properties" xmlns:vt="http://schemas.openxmlformats.org/officeDocument/2006/docPropsVTypes">
  <Template>Normal</Template>
  <TotalTime>937</TotalTime>
  <Application>LibreOffice/7.0.3.1$Linux_X86_64 LibreOffice_project/00$Build-1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2018-03-18T22:15:00Z</dcterms:created>
  <dc:creator>Vestnik IOS RAS</dc:creator>
  <dc:description/>
  <cp:keywords> </cp:keywords>
  <dc:language>ru-RU</dc:language>
  <cp:lastModifiedBy>Malykh</cp:lastModifiedBy>
  <dcterms:modified xsi:type="dcterms:W3CDTF">2020-12-15T15:54:00Z</dcterms:modified>
  <cp:revision>247</cp:revision>
  <dc:subject/>
  <dc:title>РУБРИКА: РЕЦЕНЗИИ; к юбилею ИВ РАН (</dc:title>
</cp:coreProperties>
</file>