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caps/>
          <w:sz w:val="24"/>
          <w:szCs w:val="24"/>
        </w:rPr>
      </w:pPr>
      <w:r>
        <w:rPr>
          <w:rFonts w:cs="Garamond" w:ascii="Garamond" w:hAnsi="Garamond"/>
          <w:b/>
          <w:caps/>
          <w:sz w:val="24"/>
          <w:szCs w:val="24"/>
        </w:rPr>
        <w:t>Древний Китай</w:t>
      </w:r>
    </w:p>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thickThinMediumGap" w:sz="24" w:space="0" w:color="000000"/>
            </w:tcBorders>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rPr>
          <w:rFonts w:ascii="Garamond" w:hAnsi="Garamond" w:cs="Garamond"/>
          <w:sz w:val="24"/>
          <w:szCs w:val="24"/>
        </w:rPr>
      </w:pPr>
      <w:r>
        <w:rPr>
          <w:rFonts w:cs="Garamond" w:ascii="Garamond" w:hAnsi="Garamond"/>
          <w:sz w:val="24"/>
          <w:szCs w:val="24"/>
          <w:lang w:val="en-US"/>
        </w:rPr>
        <w:t>DOI</w:t>
      </w:r>
      <w:r>
        <w:rPr>
          <w:rFonts w:cs="Garamond" w:ascii="Garamond" w:hAnsi="Garamond"/>
          <w:sz w:val="24"/>
          <w:szCs w:val="24"/>
        </w:rPr>
        <w:t>: 10.31696/2618-7302-2020-4-86-95</w:t>
      </w:r>
    </w:p>
    <w:p>
      <w:pPr>
        <w:pStyle w:val="Normal"/>
        <w:ind w:end="-31" w:hanging="0"/>
        <w:rPr>
          <w:rFonts w:ascii="Garamond" w:hAnsi="Garamond" w:cs="Garamond"/>
          <w:b/>
          <w:b/>
          <w:bCs/>
          <w:sz w:val="24"/>
          <w:szCs w:val="24"/>
        </w:rPr>
      </w:pPr>
      <w:r>
        <w:rPr>
          <w:rFonts w:cs="Garamond" w:ascii="Garamond" w:hAnsi="Garamond"/>
          <w:b/>
          <w:bCs/>
          <w:sz w:val="24"/>
          <w:szCs w:val="24"/>
        </w:rPr>
      </w:r>
    </w:p>
    <w:p>
      <w:pPr>
        <w:pStyle w:val="Normal"/>
        <w:spacing w:lineRule="auto" w:line="360"/>
        <w:ind w:end="-31" w:hanging="0"/>
        <w:jc w:val="center"/>
        <w:rPr/>
      </w:pPr>
      <w:r>
        <w:rPr>
          <w:rFonts w:eastAsia="MingLiU;細明體" w:cs="Garamond" w:ascii="Garamond" w:hAnsi="Garamond"/>
          <w:b/>
          <w:sz w:val="26"/>
          <w:szCs w:val="26"/>
        </w:rPr>
        <w:t xml:space="preserve">ХРОНОЛОГИЯ </w:t>
      </w:r>
      <w:r>
        <w:rPr>
          <w:rFonts w:eastAsia="MingLiU;細明體" w:cs="Garamond" w:ascii="Garamond" w:hAnsi="Garamond"/>
          <w:b/>
          <w:sz w:val="26"/>
          <w:szCs w:val="26"/>
          <w:lang w:val="en-US"/>
        </w:rPr>
        <w:t>II</w:t>
      </w:r>
      <w:r>
        <w:rPr>
          <w:rFonts w:eastAsia="MingLiU;細明體" w:cs="Garamond" w:ascii="Garamond" w:hAnsi="Garamond"/>
          <w:b/>
          <w:sz w:val="26"/>
          <w:szCs w:val="26"/>
        </w:rPr>
        <w:t> ТЫС. ДО Н. Э. И «ВЕЛИКИЙ ГОРОД ШАН</w:t>
      </w:r>
    </w:p>
    <w:p>
      <w:pPr>
        <w:pStyle w:val="Normal"/>
        <w:spacing w:lineRule="auto" w:line="360"/>
        <w:ind w:end="-31" w:hanging="0"/>
        <w:jc w:val="center"/>
        <w:rPr>
          <w:rFonts w:ascii="Garamond" w:hAnsi="Garamond" w:eastAsia="MingLiU;細明體" w:cs="Garamond"/>
          <w:b/>
          <w:b/>
          <w:sz w:val="26"/>
          <w:szCs w:val="26"/>
        </w:rPr>
      </w:pPr>
      <w:r>
        <w:rPr>
          <w:rFonts w:eastAsia="MingLiU;細明體" w:cs="Garamond" w:ascii="Garamond" w:hAnsi="Garamond"/>
          <w:b/>
          <w:sz w:val="26"/>
          <w:szCs w:val="26"/>
        </w:rPr>
        <w:t>(</w:t>
      </w:r>
      <w:r>
        <w:rPr>
          <w:rFonts w:eastAsia="MingLiU;細明體" w:cs="Garamond" w:ascii="Garamond" w:hAnsi="Garamond"/>
          <w:b/>
          <w:sz w:val="26"/>
          <w:szCs w:val="26"/>
          <w:lang w:val="en-US"/>
        </w:rPr>
        <w:t>XIV</w:t>
      </w:r>
      <w:r>
        <w:rPr>
          <w:rFonts w:eastAsia="MingLiU;細明體" w:cs="Garamond" w:ascii="Garamond" w:hAnsi="Garamond"/>
          <w:b/>
          <w:sz w:val="26"/>
          <w:szCs w:val="26"/>
        </w:rPr>
        <w:t>–</w:t>
      </w:r>
      <w:r>
        <w:rPr>
          <w:rFonts w:eastAsia="MingLiU;細明體" w:cs="Garamond" w:ascii="Garamond" w:hAnsi="Garamond"/>
          <w:b/>
          <w:sz w:val="26"/>
          <w:szCs w:val="26"/>
          <w:lang w:val="en-US"/>
        </w:rPr>
        <w:t>XI</w:t>
      </w:r>
      <w:r>
        <w:rPr>
          <w:rFonts w:eastAsia="MingLiU;細明體" w:cs="Garamond" w:ascii="Garamond" w:hAnsi="Garamond"/>
          <w:b/>
          <w:sz w:val="26"/>
          <w:szCs w:val="26"/>
        </w:rPr>
        <w:t> ВВ. ДО Н. Э.): КРАТКАЯ ХАРАКТЕРИСТИКА</w:t>
      </w:r>
    </w:p>
    <w:p>
      <w:pPr>
        <w:pStyle w:val="NoSpacing"/>
        <w:spacing w:lineRule="auto" w:line="360"/>
        <w:ind w:end="-31" w:hanging="0"/>
        <w:jc w:val="both"/>
        <w:rPr>
          <w:rFonts w:ascii="Garamond" w:hAnsi="Garamond" w:eastAsia="MingLiU;細明體" w:cs="Garamond"/>
          <w:sz w:val="24"/>
          <w:szCs w:val="24"/>
        </w:rPr>
      </w:pPr>
      <w:r>
        <w:rPr>
          <w:rFonts w:eastAsia="MingLiU;細明體" w:cs="Garamond" w:ascii="Garamond" w:hAnsi="Garamond"/>
          <w:sz w:val="24"/>
          <w:szCs w:val="24"/>
        </w:rPr>
        <w:t>© 2020</w:t>
        <w:tab/>
        <w:tab/>
        <w:tab/>
        <w:t xml:space="preserve">        </w:t>
      </w:r>
      <w:r>
        <w:rPr>
          <w:rFonts w:eastAsia="MingLiU;細明體" w:cs="Garamond" w:ascii="Garamond" w:hAnsi="Garamond"/>
          <w:b/>
          <w:sz w:val="26"/>
          <w:szCs w:val="26"/>
        </w:rPr>
        <w:t>М. Е. Кузнецова-Фетисова</w:t>
      </w:r>
      <w:r>
        <w:rPr>
          <w:rStyle w:val="Style14"/>
          <w:rStyle w:val="Style20"/>
          <w:rFonts w:eastAsia="MingLiU;細明體" w:cs="Garamond" w:ascii="Garamond" w:hAnsi="Garamond"/>
          <w:sz w:val="26"/>
          <w:szCs w:val="26"/>
        </w:rPr>
        <w:footnoteReference w:id="2"/>
      </w:r>
    </w:p>
    <w:p>
      <w:pPr>
        <w:pStyle w:val="Normal"/>
        <w:ind w:end="-31" w:firstLine="720"/>
        <w:jc w:val="both"/>
        <w:rPr/>
      </w:pPr>
      <w:r>
        <w:rPr>
          <w:rFonts w:eastAsia="MingLiU;細明體" w:cs="Garamond" w:ascii="Garamond" w:hAnsi="Garamond"/>
          <w:sz w:val="22"/>
          <w:szCs w:val="22"/>
        </w:rPr>
        <w:t>Во второй половине II</w:t>
      </w:r>
      <w:r>
        <w:rPr>
          <w:rFonts w:eastAsia="MingLiU;細明體" w:cs="Garamond" w:ascii="Garamond" w:hAnsi="Garamond"/>
          <w:sz w:val="22"/>
          <w:szCs w:val="22"/>
          <w:lang w:val="en-US"/>
        </w:rPr>
        <w:t> </w:t>
      </w:r>
      <w:r>
        <w:rPr>
          <w:rFonts w:eastAsia="MingLiU;細明體" w:cs="Garamond" w:ascii="Garamond" w:hAnsi="Garamond"/>
          <w:sz w:val="22"/>
          <w:szCs w:val="22"/>
        </w:rPr>
        <w:t>тыс. до н.</w:t>
      </w:r>
      <w:r>
        <w:rPr>
          <w:rFonts w:eastAsia="MingLiU;細明體" w:cs="Garamond" w:ascii="Garamond" w:hAnsi="Garamond"/>
          <w:sz w:val="22"/>
          <w:szCs w:val="22"/>
          <w:lang w:val="en-US"/>
        </w:rPr>
        <w:t> </w:t>
      </w:r>
      <w:r>
        <w:rPr>
          <w:rFonts w:eastAsia="MingLiU;細明體" w:cs="Garamond" w:ascii="Garamond" w:hAnsi="Garamond"/>
          <w:sz w:val="22"/>
          <w:szCs w:val="22"/>
        </w:rPr>
        <w:t xml:space="preserve">э. в Восточной Азии появилась первая система письма — надписи на гадательных костях </w:t>
      </w:r>
      <w:r>
        <w:rPr>
          <w:rFonts w:eastAsia="MingLiU;細明體" w:cs="Garamond" w:ascii="Garamond" w:hAnsi="Garamond"/>
          <w:i/>
          <w:sz w:val="22"/>
          <w:szCs w:val="22"/>
        </w:rPr>
        <w:t xml:space="preserve">цзягу вэнь </w:t>
      </w:r>
      <w:r>
        <w:rPr>
          <w:rFonts w:eastAsia="MingLiU;細明體" w:cs="Garamond" w:ascii="Garamond" w:hAnsi="Garamond"/>
          <w:iCs/>
          <w:sz w:val="22"/>
          <w:szCs w:val="22"/>
        </w:rPr>
        <w:t>(</w:t>
      </w:r>
      <w:r>
        <w:rPr>
          <w:rFonts w:ascii="Garamond" w:hAnsi="Garamond" w:cs="Garamond" w:eastAsia="MingLiU;細明體"/>
          <w:sz w:val="22"/>
          <w:szCs w:val="22"/>
          <w:lang w:val="en-US"/>
        </w:rPr>
        <w:t>甲骨文</w:t>
      </w:r>
      <w:r>
        <w:rPr>
          <w:rFonts w:eastAsia="MingLiU;細明體" w:cs="Garamond" w:ascii="Garamond" w:hAnsi="Garamond"/>
          <w:sz w:val="22"/>
          <w:szCs w:val="22"/>
        </w:rPr>
        <w:t>). Впервые интерес к этим эпиграфическим источникам появился в конце XIX в., но первоначально было неизвестно, откуда происходят эти артефакты. В конце 1920-х гг. отдел археологии Института истории и филологии Академии Синика начал раскопки близ современного города Аньян в провинции Хэнань, КНР, поскольку предполагалось, что гадательные кости с надписями происходят оттуда. Благодаря раскопкам был обнаружен крупный археологический комплекс, включавший ритуальный центр, мастерские, кладбища, в том числе царский некрополь. Благодаря упоминающимся в надписях именам правителей стало возможным идентифицировать этот комплекс как последнюю столицу династии Шан-Инь, «Великий город Шан» (</w:t>
      </w:r>
      <w:r>
        <w:rPr>
          <w:rFonts w:eastAsia="MingLiU;細明體" w:cs="Garamond" w:ascii="Garamond" w:hAnsi="Garamond"/>
          <w:sz w:val="22"/>
          <w:szCs w:val="22"/>
          <w:lang w:val="en-US"/>
        </w:rPr>
        <w:t>XIV</w:t>
      </w:r>
      <w:r>
        <w:rPr>
          <w:rFonts w:eastAsia="MingLiU;細明體" w:cs="Garamond" w:ascii="Garamond" w:hAnsi="Garamond"/>
          <w:sz w:val="22"/>
          <w:szCs w:val="22"/>
        </w:rPr>
        <w:t>–</w:t>
      </w:r>
      <w:r>
        <w:rPr>
          <w:rFonts w:eastAsia="MingLiU;細明體" w:cs="Garamond" w:ascii="Garamond" w:hAnsi="Garamond"/>
          <w:sz w:val="22"/>
          <w:szCs w:val="22"/>
          <w:lang w:val="en-US"/>
        </w:rPr>
        <w:t>XI</w:t>
      </w:r>
      <w:r>
        <w:rPr>
          <w:rFonts w:eastAsia="MingLiU;細明體" w:cs="Garamond" w:ascii="Garamond" w:hAnsi="Garamond"/>
          <w:sz w:val="22"/>
          <w:szCs w:val="22"/>
        </w:rPr>
        <w:t> вв. до н. э.) — уникальный памятник для своего времени, дающий возможность соотнести свидетельства письменной и дописьменной истории. На основе археологических данных и эпиграфики было построено две периодизации, которые оказалось возможным связать друг с другом и с данными по политической истории из позднейших письменных источников. Тем не менее, пока у исследователей не получилось убедительно связать эти периодизации с абсолютными датами. Наиболее масштабным проектом по координации хронологии II</w:t>
      </w:r>
      <w:r>
        <w:rPr>
          <w:rFonts w:eastAsia="MingLiU;細明體" w:cs="Garamond" w:ascii="Garamond" w:hAnsi="Garamond"/>
          <w:sz w:val="22"/>
          <w:szCs w:val="22"/>
          <w:lang w:val="en-US"/>
        </w:rPr>
        <w:t> </w:t>
      </w:r>
      <w:r>
        <w:rPr>
          <w:rFonts w:eastAsia="MingLiU;細明體" w:cs="Garamond" w:ascii="Garamond" w:hAnsi="Garamond"/>
          <w:sz w:val="22"/>
          <w:szCs w:val="22"/>
        </w:rPr>
        <w:t>тыс. до н.</w:t>
      </w:r>
      <w:r>
        <w:rPr>
          <w:rFonts w:eastAsia="MingLiU;細明體" w:cs="Garamond" w:ascii="Garamond" w:hAnsi="Garamond"/>
          <w:sz w:val="22"/>
          <w:szCs w:val="22"/>
          <w:lang w:val="en-US"/>
        </w:rPr>
        <w:t> </w:t>
      </w:r>
      <w:r>
        <w:rPr>
          <w:rFonts w:eastAsia="MingLiU;細明體" w:cs="Garamond" w:ascii="Garamond" w:hAnsi="Garamond"/>
          <w:sz w:val="22"/>
          <w:szCs w:val="22"/>
        </w:rPr>
        <w:t>э. был проект «Хронология Трех династий — Ся, Шан и Чжоу» в 1996–2000 гг., который был инициирован политиком Сун Цзяном. Несмотря на международную критику результатов проекта, в настоящее время они широко применяются в международной историографии.</w:t>
      </w:r>
    </w:p>
    <w:p>
      <w:pPr>
        <w:pStyle w:val="Normal"/>
        <w:ind w:end="-31" w:firstLine="720"/>
        <w:jc w:val="both"/>
        <w:rPr>
          <w:rFonts w:ascii="Garamond" w:hAnsi="Garamond" w:eastAsia="MingLiU;細明體" w:cs="Garamond"/>
          <w:sz w:val="22"/>
          <w:szCs w:val="22"/>
        </w:rPr>
      </w:pPr>
      <w:r>
        <w:rPr>
          <w:rFonts w:eastAsia="MingLiU;細明體" w:cs="Garamond" w:ascii="Garamond" w:hAnsi="Garamond"/>
          <w:i/>
          <w:iCs/>
          <w:sz w:val="22"/>
          <w:szCs w:val="22"/>
        </w:rPr>
        <w:t>Ключевые слова:</w:t>
      </w:r>
      <w:r>
        <w:rPr>
          <w:rFonts w:eastAsia="MingLiU;細明體" w:cs="Garamond" w:ascii="Garamond" w:hAnsi="Garamond"/>
          <w:sz w:val="22"/>
          <w:szCs w:val="22"/>
        </w:rPr>
        <w:t xml:space="preserve"> Древний Китай, хронология, бронзовый век, Великий город Шан, период Шан-Инь, археология, надписи на гадательных костях, эпиграфика.</w:t>
      </w:r>
    </w:p>
    <w:p>
      <w:pPr>
        <w:sectPr>
          <w:footerReference w:type="default" r:id="rId2"/>
          <w:footnotePr>
            <w:numFmt w:val="chicago"/>
            <w:numRestart w:val="eachSect"/>
          </w:footnotePr>
          <w:type w:val="nextPage"/>
          <w:pgSz w:w="11055" w:h="14740"/>
          <w:pgMar w:left="1134" w:right="1134" w:header="0" w:top="1134" w:footer="709" w:bottom="1134" w:gutter="0"/>
          <w:pgNumType w:start="86" w:fmt="decimal"/>
          <w:formProt w:val="false"/>
          <w:textDirection w:val="lrTb"/>
          <w:docGrid w:type="default" w:linePitch="360" w:charSpace="0"/>
        </w:sectPr>
        <w:pStyle w:val="Normal"/>
        <w:ind w:end="-31" w:firstLine="720"/>
        <w:jc w:val="both"/>
        <w:rPr>
          <w:rFonts w:ascii="Garamond" w:hAnsi="Garamond" w:eastAsia="MingLiU;細明體" w:cs="Garamond"/>
          <w:b/>
          <w:b/>
          <w:sz w:val="22"/>
          <w:szCs w:val="22"/>
        </w:rPr>
      </w:pPr>
      <w:r>
        <w:rPr>
          <w:rFonts w:eastAsia="MingLiU;細明體" w:cs="Garamond" w:ascii="Garamond" w:hAnsi="Garamond"/>
          <w:i/>
          <w:iCs/>
          <w:sz w:val="22"/>
          <w:szCs w:val="22"/>
        </w:rPr>
        <w:t>Для цитирования:</w:t>
      </w:r>
      <w:r>
        <w:rPr>
          <w:rFonts w:eastAsia="MingLiU;細明體" w:cs="Garamond" w:ascii="Garamond" w:hAnsi="Garamond"/>
          <w:sz w:val="22"/>
          <w:szCs w:val="22"/>
        </w:rPr>
        <w:t xml:space="preserve"> Кузнецова-Фетисова М. Е. Хронология </w:t>
      </w:r>
      <w:r>
        <w:rPr>
          <w:rFonts w:eastAsia="MingLiU;細明體" w:cs="Garamond" w:ascii="Garamond" w:hAnsi="Garamond"/>
          <w:sz w:val="22"/>
          <w:szCs w:val="22"/>
          <w:lang w:val="en-US"/>
        </w:rPr>
        <w:t>II</w:t>
      </w:r>
      <w:r>
        <w:rPr>
          <w:rFonts w:eastAsia="MingLiU;細明體" w:cs="Garamond" w:ascii="Garamond" w:hAnsi="Garamond"/>
          <w:sz w:val="22"/>
          <w:szCs w:val="22"/>
        </w:rPr>
        <w:t> тыс. до н. э. и «Великий город Шан (</w:t>
      </w:r>
      <w:r>
        <w:rPr>
          <w:rFonts w:eastAsia="MingLiU;細明體" w:cs="Garamond" w:ascii="Garamond" w:hAnsi="Garamond"/>
          <w:sz w:val="22"/>
          <w:szCs w:val="22"/>
          <w:lang w:val="en-US"/>
        </w:rPr>
        <w:t>XIV</w:t>
      </w:r>
      <w:r>
        <w:rPr>
          <w:rFonts w:eastAsia="MingLiU;細明體" w:cs="Garamond" w:ascii="Garamond" w:hAnsi="Garamond"/>
          <w:sz w:val="22"/>
          <w:szCs w:val="22"/>
        </w:rPr>
        <w:t>–</w:t>
      </w:r>
      <w:r>
        <w:rPr>
          <w:rFonts w:eastAsia="MingLiU;細明體" w:cs="Garamond" w:ascii="Garamond" w:hAnsi="Garamond"/>
          <w:sz w:val="22"/>
          <w:szCs w:val="22"/>
          <w:lang w:val="en-US"/>
        </w:rPr>
        <w:t>XI</w:t>
      </w:r>
      <w:r>
        <w:rPr>
          <w:rFonts w:eastAsia="MingLiU;細明體" w:cs="Garamond" w:ascii="Garamond" w:hAnsi="Garamond"/>
          <w:sz w:val="22"/>
          <w:szCs w:val="22"/>
        </w:rPr>
        <w:t> вв. до н. э.): краткая характеристика</w:t>
      </w:r>
      <w:r>
        <w:rPr>
          <w:rFonts w:eastAsia="MingLiU;細明體" w:cs="Garamond" w:ascii="Garamond" w:hAnsi="Garamond"/>
          <w:bCs/>
          <w:sz w:val="22"/>
          <w:szCs w:val="22"/>
        </w:rPr>
        <w:t xml:space="preserve">. </w:t>
      </w:r>
      <w:r>
        <w:rPr>
          <w:rFonts w:cs="Garamond" w:ascii="Garamond" w:hAnsi="Garamond"/>
          <w:i/>
          <w:iCs/>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w:t>
      </w:r>
      <w:r>
        <w:rPr>
          <w:rFonts w:cs="Garamond" w:ascii="Garamond" w:hAnsi="Garamond"/>
          <w:sz w:val="22"/>
          <w:szCs w:val="22"/>
        </w:rPr>
        <w:t xml:space="preserve">4. С. 86–95. </w:t>
      </w:r>
      <w:r>
        <w:rPr>
          <w:rFonts w:cs="Garamond" w:ascii="Garamond" w:hAnsi="Garamond"/>
          <w:sz w:val="22"/>
          <w:szCs w:val="22"/>
          <w:lang w:val="en-US"/>
        </w:rPr>
        <w:t>DOI</w:t>
      </w:r>
      <w:r>
        <w:rPr>
          <w:rFonts w:cs="Garamond" w:ascii="Garamond" w:hAnsi="Garamond"/>
          <w:sz w:val="22"/>
          <w:szCs w:val="22"/>
        </w:rPr>
        <w:t>: 10.31696/2618-7302-2020-4-86-95</w:t>
      </w:r>
    </w:p>
    <w:p>
      <w:pPr>
        <w:pStyle w:val="Normal"/>
        <w:spacing w:lineRule="auto" w:line="360"/>
        <w:ind w:end="-31" w:hanging="0"/>
        <w:jc w:val="center"/>
        <w:rPr>
          <w:rFonts w:ascii="Garamond" w:hAnsi="Garamond" w:eastAsia="MingLiU;細明體" w:cs="Garamond"/>
          <w:b/>
          <w:b/>
          <w:sz w:val="26"/>
          <w:szCs w:val="26"/>
          <w:lang w:val="en-US"/>
        </w:rPr>
      </w:pPr>
      <w:r>
        <w:rPr>
          <w:rFonts w:eastAsia="MingLiU;細明體" w:cs="Garamond" w:ascii="Garamond" w:hAnsi="Garamond"/>
          <w:b/>
          <w:sz w:val="26"/>
          <w:szCs w:val="26"/>
          <w:lang w:val="en-US"/>
        </w:rPr>
        <w:t>SECOND MILLENNIUM B.C. CHRONOLOGY AND THE ‘GREAT SETTLEMENT SHANG’ (14</w:t>
      </w:r>
      <w:r>
        <w:rPr>
          <w:rFonts w:eastAsia="MingLiU;細明體" w:cs="Garamond" w:ascii="Garamond" w:hAnsi="Garamond"/>
          <w:b/>
          <w:sz w:val="26"/>
          <w:szCs w:val="26"/>
          <w:vertAlign w:val="superscript"/>
          <w:lang w:val="en-US"/>
        </w:rPr>
        <w:t>TH</w:t>
      </w:r>
      <w:r>
        <w:rPr>
          <w:rFonts w:eastAsia="MingLiU;細明體" w:cs="Garamond" w:ascii="Garamond" w:hAnsi="Garamond"/>
          <w:b/>
          <w:sz w:val="26"/>
          <w:szCs w:val="26"/>
          <w:lang w:val="en-US"/>
        </w:rPr>
        <w:t>–11</w:t>
      </w:r>
      <w:r>
        <w:rPr>
          <w:rFonts w:eastAsia="MingLiU;細明體" w:cs="Garamond" w:ascii="Garamond" w:hAnsi="Garamond"/>
          <w:b/>
          <w:sz w:val="26"/>
          <w:szCs w:val="26"/>
          <w:vertAlign w:val="superscript"/>
          <w:lang w:val="en-US"/>
        </w:rPr>
        <w:t>TH</w:t>
      </w:r>
      <w:r>
        <w:rPr>
          <w:rFonts w:eastAsia="MingLiU;細明體" w:cs="Garamond" w:ascii="Garamond" w:hAnsi="Garamond"/>
          <w:b/>
          <w:sz w:val="26"/>
          <w:szCs w:val="26"/>
          <w:lang w:val="en-US"/>
        </w:rPr>
        <w:t xml:space="preserve"> CENTURIES B.C.): INTRODUCTION</w:t>
      </w:r>
    </w:p>
    <w:p>
      <w:pPr>
        <w:pStyle w:val="Normal"/>
        <w:spacing w:lineRule="auto" w:line="360"/>
        <w:ind w:end="-31" w:hanging="0"/>
        <w:jc w:val="center"/>
        <w:rPr/>
      </w:pPr>
      <w:r>
        <w:rPr>
          <w:rFonts w:eastAsia="MingLiU;細明體" w:cs="Garamond" w:ascii="Garamond" w:hAnsi="Garamond"/>
          <w:b/>
          <w:sz w:val="26"/>
          <w:szCs w:val="26"/>
          <w:lang w:val="en-US"/>
        </w:rPr>
        <w:t>Marina </w:t>
      </w:r>
      <w:r>
        <w:rPr>
          <w:rFonts w:eastAsia="MingLiU;細明體" w:cs="Garamond" w:ascii="Garamond" w:hAnsi="Garamond"/>
          <w:b/>
          <w:sz w:val="26"/>
          <w:szCs w:val="26"/>
        </w:rPr>
        <w:t>Е</w:t>
      </w:r>
      <w:r>
        <w:rPr>
          <w:rFonts w:eastAsia="MingLiU;細明體" w:cs="Garamond" w:ascii="Garamond" w:hAnsi="Garamond"/>
          <w:b/>
          <w:sz w:val="26"/>
          <w:szCs w:val="26"/>
          <w:lang w:val="en-US"/>
        </w:rPr>
        <w:t>. Kuznetsova-Fetisova</w:t>
      </w:r>
    </w:p>
    <w:p>
      <w:pPr>
        <w:pStyle w:val="Normal"/>
        <w:ind w:end="-31" w:firstLine="720"/>
        <w:jc w:val="both"/>
        <w:rPr>
          <w:rFonts w:ascii="Garamond" w:hAnsi="Garamond" w:eastAsia="MingLiU;細明體" w:cs="Garamond"/>
          <w:sz w:val="22"/>
          <w:szCs w:val="22"/>
          <w:lang w:val="en-US"/>
        </w:rPr>
      </w:pPr>
      <w:r>
        <w:rPr>
          <w:rFonts w:cs="Garamond" w:ascii="Garamond" w:hAnsi="Garamond"/>
          <w:sz w:val="22"/>
          <w:szCs w:val="22"/>
          <w:lang w:val="en-US"/>
        </w:rPr>
        <w:t>Second half of the II millennium B.C. can be considered as the time when the first writing system appeared in East Asia in the form of oracle bone inscriptions</w:t>
      </w:r>
      <w:r>
        <w:rPr>
          <w:rFonts w:cs="Garamond" w:ascii="Garamond" w:hAnsi="Garamond"/>
          <w:i/>
          <w:sz w:val="22"/>
          <w:szCs w:val="22"/>
          <w:lang w:val="en-US"/>
        </w:rPr>
        <w:t xml:space="preserve"> jiagu wen</w:t>
      </w:r>
      <w:r>
        <w:rPr>
          <w:rFonts w:cs="Garamond" w:ascii="Garamond" w:hAnsi="Garamond"/>
          <w:sz w:val="22"/>
          <w:szCs w:val="22"/>
          <w:lang w:val="en-US"/>
        </w:rPr>
        <w:t xml:space="preserve"> (</w:t>
      </w:r>
      <w:r>
        <w:rPr>
          <w:rFonts w:ascii="Garamond" w:hAnsi="Garamond" w:cs="Garamond" w:eastAsia="SimSun;宋体"/>
          <w:sz w:val="22"/>
          <w:szCs w:val="22"/>
          <w:lang w:val="en-US"/>
        </w:rPr>
        <w:t>甲骨文</w:t>
      </w:r>
      <w:r>
        <w:rPr>
          <w:rFonts w:cs="Garamond" w:ascii="Garamond" w:hAnsi="Garamond"/>
          <w:sz w:val="22"/>
          <w:szCs w:val="22"/>
          <w:lang w:val="en-US"/>
        </w:rPr>
        <w:t>). For the first time those inscriptions sparked academic interest and received recognition at the end of 19</w:t>
      </w:r>
      <w:r>
        <w:rPr>
          <w:rFonts w:cs="Garamond" w:ascii="Garamond" w:hAnsi="Garamond"/>
          <w:sz w:val="22"/>
          <w:szCs w:val="22"/>
          <w:vertAlign w:val="superscript"/>
          <w:lang w:val="en-US"/>
        </w:rPr>
        <w:t>th</w:t>
      </w:r>
      <w:r>
        <w:rPr>
          <w:rFonts w:cs="Garamond" w:ascii="Garamond" w:hAnsi="Garamond"/>
          <w:sz w:val="22"/>
          <w:szCs w:val="22"/>
          <w:lang w:val="en-US"/>
        </w:rPr>
        <w:t xml:space="preserve"> century, though their place of origin remained a mystery for some time. At the end of the 1920s Archaeological department of Institute of History and Philology Academia Sinica initiated archaeological excavations near modern city of Anyang, Henan province, PRC, because it was implied that the oracle bones with inscriptions had originated there. Archaeological excavations reveled a great ancient center in Anyang, including a cult center, workshops, and cemeteries including royal necropolis. Due to the fact that names of rulers, known from the transmitted texts, were often mentioned in those inscriptions, it was possible to identify the site as the last capital of Shang-Yin dynasty, so-called ‘Great Settlement Shang’ (14</w:t>
      </w:r>
      <w:r>
        <w:rPr>
          <w:rFonts w:cs="Garamond" w:ascii="Garamond" w:hAnsi="Garamond"/>
          <w:sz w:val="22"/>
          <w:szCs w:val="22"/>
          <w:vertAlign w:val="superscript"/>
          <w:lang w:val="en-US"/>
        </w:rPr>
        <w:t>th</w:t>
      </w:r>
      <w:r>
        <w:rPr>
          <w:rFonts w:cs="Garamond" w:ascii="Garamond" w:hAnsi="Garamond"/>
          <w:sz w:val="22"/>
          <w:szCs w:val="22"/>
          <w:lang w:val="en-US"/>
        </w:rPr>
        <w:t>–11</w:t>
      </w:r>
      <w:r>
        <w:rPr>
          <w:rFonts w:cs="Garamond" w:ascii="Garamond" w:hAnsi="Garamond"/>
          <w:sz w:val="22"/>
          <w:szCs w:val="22"/>
          <w:vertAlign w:val="superscript"/>
          <w:lang w:val="en-US"/>
        </w:rPr>
        <w:t>th</w:t>
      </w:r>
      <w:r>
        <w:rPr>
          <w:rFonts w:cs="Garamond" w:ascii="Garamond" w:hAnsi="Garamond"/>
          <w:sz w:val="22"/>
          <w:szCs w:val="22"/>
          <w:lang w:val="en-US"/>
        </w:rPr>
        <w:t xml:space="preserve"> centuries B.C.). All these make the complex rather unique for its time, as it gives us a chance to connect pre-historical and historical data. Researchers managed to determine two relative chronologies (based on archaeological and epigraphic sources) and later to interconnect them and relate to the events mentioned in transmitted texts on early political history. Still, there is a number of problems in correlating those relative chronologies with absolute dates. Up to now the greatest project to coordinate chronology of the II millennium B.C. has been the project “Chronology of the Three Dynasties: Xia–Shang–Zhou” in 1996–2000, initiated by the Chinese political figure Song Jiang. Regardless of some international criticism of the projects’ results, a great number of scholars make use of them in their studies.</w:t>
      </w:r>
    </w:p>
    <w:p>
      <w:pPr>
        <w:pStyle w:val="Normal"/>
        <w:ind w:end="-31" w:firstLine="720"/>
        <w:jc w:val="both"/>
        <w:rPr>
          <w:rFonts w:ascii="Garamond" w:hAnsi="Garamond" w:cs="Garamond"/>
          <w:sz w:val="22"/>
          <w:szCs w:val="22"/>
          <w:lang w:val="en-US"/>
        </w:rPr>
      </w:pPr>
      <w:r>
        <w:rPr>
          <w:rFonts w:eastAsia="MingLiU;細明體" w:cs="Garamond" w:ascii="Garamond" w:hAnsi="Garamond"/>
          <w:i/>
          <w:iCs/>
          <w:sz w:val="22"/>
          <w:szCs w:val="22"/>
          <w:lang w:val="en-US"/>
        </w:rPr>
        <w:t>Keywords:</w:t>
      </w:r>
      <w:r>
        <w:rPr>
          <w:rFonts w:eastAsia="MingLiU;細明體" w:cs="Garamond" w:ascii="Garamond" w:hAnsi="Garamond"/>
          <w:sz w:val="22"/>
          <w:szCs w:val="22"/>
          <w:lang w:val="en-US"/>
        </w:rPr>
        <w:t xml:space="preserve"> </w:t>
      </w:r>
      <w:r>
        <w:rPr>
          <w:rFonts w:cs="Garamond" w:ascii="Garamond" w:hAnsi="Garamond"/>
          <w:sz w:val="22"/>
          <w:szCs w:val="22"/>
          <w:lang w:val="en-US"/>
        </w:rPr>
        <w:t>chronology, China, Bronze Age, Great Settlement Shang, Shang-Yin dynasty, archaeology, oracle bone inscriptions</w:t>
      </w:r>
      <w:r>
        <w:rPr>
          <w:rFonts w:eastAsia="MingLiU;細明體" w:cs="Garamond" w:ascii="Garamond" w:hAnsi="Garamond"/>
          <w:sz w:val="22"/>
          <w:szCs w:val="22"/>
          <w:lang w:val="en-US"/>
        </w:rPr>
        <w:t>.</w:t>
      </w:r>
    </w:p>
    <w:p>
      <w:pPr>
        <w:pStyle w:val="Normal"/>
        <w:ind w:end="-31" w:firstLine="720"/>
        <w:jc w:val="both"/>
        <w:rPr>
          <w:rFonts w:ascii="Garamond" w:hAnsi="Garamond" w:eastAsia="MingLiU;細明體" w:cs="Garamond"/>
          <w:sz w:val="22"/>
          <w:szCs w:val="22"/>
        </w:rPr>
      </w:pPr>
      <w:r>
        <w:rPr>
          <w:rFonts w:eastAsia="MingLiU;細明體" w:cs="Garamond" w:ascii="Garamond" w:hAnsi="Garamond"/>
          <w:bCs/>
          <w:i/>
          <w:iCs/>
          <w:sz w:val="22"/>
          <w:szCs w:val="22"/>
          <w:lang w:val="en-US"/>
        </w:rPr>
        <w:t>For citation:</w:t>
      </w:r>
      <w:r>
        <w:rPr>
          <w:rFonts w:eastAsia="MingLiU;細明體" w:cs="Garamond" w:ascii="Garamond" w:hAnsi="Garamond"/>
          <w:bCs/>
          <w:sz w:val="22"/>
          <w:szCs w:val="22"/>
          <w:lang w:val="en-US"/>
        </w:rPr>
        <w:t xml:space="preserve"> </w:t>
      </w:r>
      <w:r>
        <w:rPr>
          <w:rFonts w:eastAsia="MingLiU;細明體" w:cs="Garamond" w:ascii="Garamond" w:hAnsi="Garamond"/>
          <w:sz w:val="22"/>
          <w:szCs w:val="22"/>
          <w:lang w:val="en-US"/>
        </w:rPr>
        <w:t>Kuznetsova-Fetisova M. </w:t>
      </w:r>
      <w:r>
        <w:rPr>
          <w:rFonts w:eastAsia="MingLiU;細明體" w:cs="Garamond" w:ascii="Garamond" w:hAnsi="Garamond"/>
          <w:sz w:val="22"/>
          <w:szCs w:val="22"/>
        </w:rPr>
        <w:t>Е</w:t>
      </w:r>
      <w:r>
        <w:rPr>
          <w:rFonts w:eastAsia="MingLiU;細明體" w:cs="Garamond" w:ascii="Garamond" w:hAnsi="Garamond"/>
          <w:sz w:val="22"/>
          <w:szCs w:val="22"/>
          <w:lang w:val="en-US"/>
        </w:rPr>
        <w:t>. Second Millennium B.C. Chronology and the ‘Great Settlement Shang’ (14</w:t>
      </w:r>
      <w:r>
        <w:rPr>
          <w:rFonts w:eastAsia="MingLiU;細明體" w:cs="Garamond" w:ascii="Garamond" w:hAnsi="Garamond"/>
          <w:sz w:val="22"/>
          <w:szCs w:val="22"/>
          <w:vertAlign w:val="superscript"/>
          <w:lang w:val="en-US"/>
        </w:rPr>
        <w:t>th</w:t>
      </w:r>
      <w:r>
        <w:rPr>
          <w:rFonts w:eastAsia="MingLiU;細明體" w:cs="Garamond" w:ascii="Garamond" w:hAnsi="Garamond"/>
          <w:sz w:val="22"/>
          <w:szCs w:val="22"/>
          <w:lang w:val="en-US"/>
        </w:rPr>
        <w:t>–11</w:t>
      </w:r>
      <w:r>
        <w:rPr>
          <w:rFonts w:eastAsia="MingLiU;細明體" w:cs="Garamond" w:ascii="Garamond" w:hAnsi="Garamond"/>
          <w:sz w:val="22"/>
          <w:szCs w:val="22"/>
          <w:vertAlign w:val="superscript"/>
          <w:lang w:val="en-US"/>
        </w:rPr>
        <w:t>th</w:t>
      </w:r>
      <w:r>
        <w:rPr>
          <w:rFonts w:eastAsia="MingLiU;細明體" w:cs="Garamond" w:ascii="Garamond" w:hAnsi="Garamond"/>
          <w:sz w:val="22"/>
          <w:szCs w:val="22"/>
          <w:lang w:val="en-US"/>
        </w:rPr>
        <w:t xml:space="preserve"> Centuries B.C.): Introduction</w:t>
      </w:r>
      <w:r>
        <w:rPr>
          <w:rFonts w:eastAsia="MingLiU;細明體" w:cs="Garamond" w:ascii="Garamond" w:hAnsi="Garamond"/>
          <w:bCs/>
          <w:sz w:val="22"/>
          <w:szCs w:val="22"/>
          <w:lang w:val="en-US"/>
        </w:rPr>
        <w:t xml:space="preserve">. </w:t>
      </w:r>
      <w:r>
        <w:rPr>
          <w:rFonts w:cs="Garamond" w:ascii="Garamond" w:hAnsi="Garamond"/>
          <w:i/>
          <w:sz w:val="22"/>
          <w:szCs w:val="22"/>
          <w:lang w:val="en-US"/>
        </w:rPr>
        <w:t>Vestnik Instituta vostokovedenija RAN</w:t>
      </w:r>
      <w:r>
        <w:rPr>
          <w:rFonts w:cs="Garamond" w:ascii="Garamond" w:hAnsi="Garamond"/>
          <w:sz w:val="22"/>
          <w:szCs w:val="22"/>
          <w:lang w:val="en-US"/>
        </w:rPr>
        <w:t xml:space="preserve">. 2020. </w:t>
      </w:r>
      <w:r>
        <w:rPr>
          <w:rFonts w:cs="Garamond" w:ascii="Garamond" w:hAnsi="Garamond"/>
          <w:sz w:val="22"/>
          <w:szCs w:val="22"/>
        </w:rPr>
        <w:t xml:space="preserve">4.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86–95. </w:t>
      </w:r>
      <w:r>
        <w:rPr>
          <w:rFonts w:cs="Garamond" w:ascii="Garamond" w:hAnsi="Garamond"/>
          <w:sz w:val="22"/>
          <w:szCs w:val="22"/>
          <w:lang w:val="en-US"/>
        </w:rPr>
        <w:t>DOI</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10.31696/2618-7302-2020-4-86-95</w:t>
      </w:r>
    </w:p>
    <w:p>
      <w:pPr>
        <w:pStyle w:val="Normal"/>
        <w:ind w:end="-31" w:firstLine="720"/>
        <w:jc w:val="both"/>
        <w:rPr>
          <w:rFonts w:ascii="Garamond" w:hAnsi="Garamond" w:eastAsia="MingLiU;細明體" w:cs="Garamond"/>
          <w:sz w:val="22"/>
          <w:szCs w:val="22"/>
        </w:rPr>
      </w:pPr>
      <w:r>
        <w:rPr>
          <w:rFonts w:eastAsia="MingLiU;細明體" w:cs="Garamond" w:ascii="Garamond" w:hAnsi="Garamond"/>
          <w:sz w:val="22"/>
          <w:szCs w:val="22"/>
        </w:rPr>
      </w:r>
    </w:p>
    <w:p>
      <w:pPr>
        <w:pStyle w:val="Normal"/>
        <w:ind w:end="-31" w:hanging="0"/>
        <w:jc w:val="both"/>
        <w:rPr>
          <w:rFonts w:ascii="Garamond" w:hAnsi="Garamond" w:eastAsia="MingLiU;細明體" w:cs="Garamond"/>
          <w:sz w:val="24"/>
          <w:szCs w:val="24"/>
        </w:rPr>
      </w:pPr>
      <w:r>
        <w:rPr/>
        <w:t>И</w:t>
      </w:r>
      <w:r>
        <w:rPr>
          <w:rFonts w:eastAsia="MingLiU;細明體" w:cs="Garamond" w:ascii="Garamond" w:hAnsi="Garamond"/>
          <w:sz w:val="24"/>
          <w:szCs w:val="24"/>
        </w:rPr>
        <w:t>сследование истории Восточной Азии не может обойти вниманием период Шан-Инь во второй половине II</w:t>
      </w:r>
      <w:r>
        <w:rPr>
          <w:rFonts w:eastAsia="MingLiU;細明體" w:cs="Garamond" w:ascii="Garamond" w:hAnsi="Garamond"/>
          <w:sz w:val="24"/>
          <w:szCs w:val="24"/>
          <w:lang w:val="en-US"/>
        </w:rPr>
        <w:t> </w:t>
      </w:r>
      <w:r>
        <w:rPr>
          <w:rFonts w:eastAsia="MingLiU;細明體" w:cs="Garamond" w:ascii="Garamond" w:hAnsi="Garamond"/>
          <w:sz w:val="24"/>
          <w:szCs w:val="24"/>
        </w:rPr>
        <w:t>тыс. до н.</w:t>
      </w:r>
      <w:r>
        <w:rPr>
          <w:rFonts w:eastAsia="MingLiU;細明體" w:cs="Garamond" w:ascii="Garamond" w:hAnsi="Garamond"/>
          <w:sz w:val="24"/>
          <w:szCs w:val="24"/>
          <w:lang w:val="en-US"/>
        </w:rPr>
        <w:t> </w:t>
      </w:r>
      <w:r>
        <w:rPr>
          <w:rFonts w:eastAsia="MingLiU;細明體" w:cs="Garamond" w:ascii="Garamond" w:hAnsi="Garamond"/>
          <w:sz w:val="24"/>
          <w:szCs w:val="24"/>
        </w:rPr>
        <w:t>э. Именно в это время впервые в этом регионе получила широкое распространение древнейшая в Восточной Азии письменная система — иероглифика, которая непрерывно развивается уже более трех тысячелетий, благодаря чему произошел качественный скачок в развитии общества. Построение хронологии этого периода обладает огромной важностью и само по себе, и как точка отсчета датировок предшествующего периода дописьменной истории.</w:t>
      </w:r>
    </w:p>
    <w:p>
      <w:pPr>
        <w:pStyle w:val="Normal"/>
        <w:ind w:end="-31" w:firstLine="720"/>
        <w:jc w:val="both"/>
        <w:rPr/>
      </w:pPr>
      <w:r>
        <w:rPr>
          <w:rFonts w:eastAsia="MingLiU;細明體" w:cs="Garamond" w:ascii="Garamond" w:hAnsi="Garamond"/>
          <w:sz w:val="24"/>
          <w:szCs w:val="24"/>
        </w:rPr>
        <w:t>Согласно китайским историческим сочинениям, период правления династии</w:t>
      </w:r>
      <w:r>
        <w:rPr>
          <w:rStyle w:val="Style14"/>
          <w:rStyle w:val="Style20"/>
          <w:rFonts w:eastAsia="MingLiU;細明體" w:cs="Garamond" w:ascii="Garamond" w:hAnsi="Garamond"/>
          <w:sz w:val="24"/>
          <w:szCs w:val="24"/>
        </w:rPr>
        <w:footnoteReference w:id="3"/>
      </w:r>
      <w:r>
        <w:rPr>
          <w:rFonts w:eastAsia="MingLiU;細明體" w:cs="Garamond" w:ascii="Garamond" w:hAnsi="Garamond"/>
          <w:sz w:val="24"/>
          <w:szCs w:val="24"/>
        </w:rPr>
        <w:t xml:space="preserve"> Шан-Инь (</w:t>
      </w:r>
      <w:r>
        <w:rPr>
          <w:rFonts w:ascii="Garamond" w:hAnsi="Garamond" w:eastAsia="MingLiU;細明體"/>
          <w:sz w:val="24"/>
          <w:szCs w:val="24"/>
          <w:lang w:val="en-US"/>
        </w:rPr>
        <w:t>商殷</w:t>
      </w:r>
      <w:r>
        <w:rPr>
          <w:rFonts w:eastAsia="MingLiU;細明體" w:cs="Garamond" w:ascii="Garamond" w:hAnsi="Garamond"/>
          <w:sz w:val="24"/>
          <w:szCs w:val="24"/>
        </w:rPr>
        <w:t>)</w:t>
      </w:r>
      <w:r>
        <w:rPr>
          <w:rStyle w:val="Style14"/>
          <w:rStyle w:val="Style20"/>
          <w:rFonts w:eastAsia="MingLiU;細明體" w:cs="Garamond" w:ascii="Garamond" w:hAnsi="Garamond"/>
          <w:sz w:val="24"/>
          <w:szCs w:val="24"/>
          <w:lang w:val="en-US"/>
        </w:rPr>
        <w:footnoteReference w:id="4"/>
      </w:r>
      <w:r>
        <w:rPr>
          <w:rFonts w:eastAsia="MingLiU;細明體" w:cs="Garamond" w:ascii="Garamond" w:hAnsi="Garamond"/>
          <w:sz w:val="24"/>
          <w:szCs w:val="24"/>
        </w:rPr>
        <w:t xml:space="preserve"> — второй по счету среди трех династий древности (Ся; </w:t>
      </w:r>
      <w:r>
        <w:rPr>
          <w:rFonts w:ascii="Garamond" w:hAnsi="Garamond" w:eastAsia="MingLiU;細明體"/>
          <w:sz w:val="24"/>
          <w:szCs w:val="24"/>
          <w:lang w:val="en-US"/>
        </w:rPr>
        <w:t>夏</w:t>
      </w:r>
      <w:r>
        <w:rPr>
          <w:rFonts w:eastAsia="MingLiU;細明體" w:cs="Garamond" w:ascii="Garamond" w:hAnsi="Garamond"/>
          <w:sz w:val="24"/>
          <w:szCs w:val="24"/>
        </w:rPr>
        <w:t xml:space="preserve">, Шан; </w:t>
      </w:r>
      <w:r>
        <w:rPr>
          <w:rFonts w:ascii="Garamond" w:hAnsi="Garamond" w:eastAsia="MingLiU;細明體"/>
          <w:sz w:val="24"/>
          <w:szCs w:val="24"/>
        </w:rPr>
        <w:t>商</w:t>
      </w:r>
      <w:r>
        <w:rPr>
          <w:rFonts w:ascii="Garamond" w:hAnsi="Garamond" w:cs="Garamond" w:eastAsia="Garamond"/>
          <w:sz w:val="24"/>
          <w:szCs w:val="24"/>
        </w:rPr>
        <w:t xml:space="preserve"> </w:t>
      </w:r>
      <w:r>
        <w:rPr>
          <w:rFonts w:eastAsia="MingLiU;細明體" w:cs="Garamond" w:ascii="Garamond" w:hAnsi="Garamond"/>
          <w:sz w:val="24"/>
          <w:szCs w:val="24"/>
        </w:rPr>
        <w:t xml:space="preserve">и Чжоу; </w:t>
      </w:r>
      <w:r>
        <w:rPr>
          <w:rFonts w:ascii="Garamond" w:hAnsi="Garamond" w:eastAsia="MingLiU;細明體"/>
          <w:sz w:val="24"/>
          <w:szCs w:val="24"/>
        </w:rPr>
        <w:t>周</w:t>
      </w:r>
      <w:r>
        <w:rPr>
          <w:rFonts w:eastAsia="MingLiU;細明體" w:cs="Garamond" w:ascii="Garamond" w:hAnsi="Garamond"/>
          <w:sz w:val="24"/>
          <w:szCs w:val="24"/>
        </w:rPr>
        <w:t>). До настоящего момента исследователям не удалось с высокой степенью надежности подтвердить или опровергнуть существование первой из них, поэтому фактически период Шан-Инь — древнейший из достоверно известных.</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r>
    </w:p>
    <w:p>
      <w:pPr>
        <w:pStyle w:val="Normal"/>
        <w:ind w:end="-31" w:firstLine="720"/>
        <w:jc w:val="both"/>
        <w:rPr>
          <w:rFonts w:ascii="Garamond" w:hAnsi="Garamond" w:eastAsia="MingLiU;細明體" w:cs="Garamond"/>
          <w:b/>
          <w:b/>
          <w:smallCaps/>
          <w:sz w:val="24"/>
          <w:szCs w:val="24"/>
        </w:rPr>
      </w:pPr>
      <w:r>
        <w:rPr>
          <w:rFonts w:eastAsia="MingLiU;細明體" w:cs="Garamond" w:ascii="Garamond" w:hAnsi="Garamond"/>
          <w:b/>
          <w:smallCaps/>
          <w:sz w:val="24"/>
          <w:szCs w:val="24"/>
        </w:rPr>
        <w:t>Археологическое исследование комплекса под Аньяном</w:t>
      </w:r>
    </w:p>
    <w:p>
      <w:pPr>
        <w:pStyle w:val="Normal"/>
        <w:ind w:end="-31" w:firstLine="720"/>
        <w:jc w:val="both"/>
        <w:rPr>
          <w:rFonts w:ascii="Garamond" w:hAnsi="Garamond" w:eastAsia="MingLiU;細明體" w:cs="Garamond"/>
          <w:b/>
          <w:b/>
          <w:smallCaps/>
          <w:sz w:val="8"/>
          <w:szCs w:val="8"/>
        </w:rPr>
      </w:pPr>
      <w:r>
        <w:rPr>
          <w:rFonts w:eastAsia="MingLiU;細明體" w:cs="Garamond" w:ascii="Garamond" w:hAnsi="Garamond"/>
          <w:b/>
          <w:smallCaps/>
          <w:sz w:val="8"/>
          <w:szCs w:val="8"/>
        </w:rPr>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 xml:space="preserve">На протяжении почти трех тысяч лет сведения о периоде Шан базировались на позднейших источниках — эпиграфике и трактатах периода Чжоу (XI в. до н. э. — 265 г. до н. э.) и далее. Лишь в конце XIX в. были обнаружены письменные свидетельства, современные династии Шан-Инь, и непосредственно с ней связанные — надписи на гадательных костях </w:t>
      </w:r>
      <w:r>
        <w:rPr>
          <w:rFonts w:eastAsia="MingLiU;細明體" w:cs="Garamond" w:ascii="Garamond" w:hAnsi="Garamond"/>
          <w:i/>
          <w:sz w:val="24"/>
          <w:szCs w:val="24"/>
        </w:rPr>
        <w:t xml:space="preserve">цзягувэнь </w:t>
      </w:r>
      <w:r>
        <w:rPr>
          <w:rFonts w:eastAsia="MingLiU;細明體" w:cs="Garamond" w:ascii="Garamond" w:hAnsi="Garamond"/>
          <w:iCs/>
          <w:sz w:val="24"/>
          <w:szCs w:val="24"/>
        </w:rPr>
        <w:t>(</w:t>
      </w:r>
      <w:r>
        <w:rPr>
          <w:rFonts w:ascii="Garamond" w:hAnsi="Garamond" w:eastAsia="MingLiU;細明體"/>
          <w:sz w:val="24"/>
          <w:szCs w:val="24"/>
          <w:lang w:val="en-US"/>
        </w:rPr>
        <w:t>甲骨文</w:t>
      </w:r>
      <w:r>
        <w:rPr>
          <w:rStyle w:val="Style14"/>
          <w:rStyle w:val="Style20"/>
          <w:rFonts w:ascii="Garamond" w:hAnsi="Garamond" w:cs="Garamond" w:eastAsia="MingLiU;細明體"/>
          <w:sz w:val="24"/>
          <w:szCs w:val="24"/>
          <w:lang w:val="en-US"/>
        </w:rPr>
        <w:footnoteReference w:id="5"/>
      </w:r>
      <w:r>
        <w:rPr>
          <w:rFonts w:eastAsia="MingLiU;細明體" w:cs="Garamond" w:ascii="Garamond" w:hAnsi="Garamond"/>
          <w:sz w:val="24"/>
          <w:szCs w:val="24"/>
        </w:rPr>
        <w:t>) (далее НГК)</w:t>
      </w:r>
      <w:r>
        <w:rPr>
          <w:rStyle w:val="Style14"/>
          <w:rStyle w:val="Style20"/>
          <w:rFonts w:eastAsia="MingLiU;細明體" w:cs="Garamond" w:ascii="Garamond" w:hAnsi="Garamond"/>
          <w:sz w:val="24"/>
          <w:szCs w:val="24"/>
        </w:rPr>
        <w:footnoteReference w:id="6"/>
      </w:r>
      <w:r>
        <w:rPr>
          <w:rFonts w:eastAsia="MingLiU;細明體" w:cs="Garamond" w:ascii="Garamond" w:hAnsi="Garamond"/>
          <w:sz w:val="24"/>
          <w:szCs w:val="24"/>
        </w:rPr>
        <w:t xml:space="preserve"> [Куликов, 2016].</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НГК были выделены как отдельный вид эпиграфики в самом конце XIX — начале XX в., во многом благодаря высокому развитию эпиграфических исследований в Китае. Это были записи гаданий при дворе правителей Шан и их ближайшего окружения, как правило, достаточно лаконичные и формализованные; на одном носителе (лопатке или пластроне) могло быть до нескольких десятков надписей. До настоящего времени гадательные кости часто доходят во фрагментированном состоянии, а составление фрагментов в целостные надписи является отдельной подзадачей для исследователей НГК.</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 xml:space="preserve">С течением времени было установлено место, откуда поступали НГК, — недалеко от города Аньян в провинции Хэнань; этот район был известен с древности как место находок бронзовых изделий. С осени 1928 г. отдел археологии Института истории и филологии Академии Синика начал раскопки под Аньяном </w:t>
      </w:r>
      <w:r>
        <w:rPr>
          <w:rStyle w:val="D2edcug0"/>
          <w:rFonts w:eastAsia="MingLiU;細明體" w:cs="Garamond" w:ascii="Garamond" w:hAnsi="Garamond"/>
          <w:sz w:val="24"/>
          <w:szCs w:val="24"/>
        </w:rPr>
        <w:t>с целью обнаружить in situ гадательные кости с надписями</w:t>
      </w:r>
      <w:r>
        <w:rPr>
          <w:rFonts w:eastAsia="MingLiU;細明體" w:cs="Garamond" w:ascii="Garamond" w:hAnsi="Garamond"/>
          <w:sz w:val="24"/>
          <w:szCs w:val="24"/>
        </w:rPr>
        <w:t>; в раскопках принимали участие многие выдающиеся археологи и эпиграфисты того времени [</w:t>
      </w:r>
      <w:r>
        <w:rPr>
          <w:rStyle w:val="Style18"/>
          <w:rFonts w:eastAsia="MingLiU;細明體" w:cs="Garamond" w:ascii="Garamond" w:hAnsi="Garamond"/>
          <w:i w:val="false"/>
          <w:sz w:val="24"/>
          <w:szCs w:val="24"/>
        </w:rPr>
        <w:t>Кузнецова</w:t>
      </w:r>
      <w:r>
        <w:rPr>
          <w:rStyle w:val="Acopre"/>
          <w:rFonts w:eastAsia="MingLiU;細明體" w:cs="Garamond" w:ascii="Garamond" w:hAnsi="Garamond"/>
          <w:i/>
          <w:sz w:val="24"/>
          <w:szCs w:val="24"/>
        </w:rPr>
        <w:t>-</w:t>
      </w:r>
      <w:r>
        <w:rPr>
          <w:rStyle w:val="Style18"/>
          <w:rFonts w:eastAsia="MingLiU;細明體" w:cs="Garamond" w:ascii="Garamond" w:hAnsi="Garamond"/>
          <w:i w:val="false"/>
          <w:sz w:val="24"/>
          <w:szCs w:val="24"/>
        </w:rPr>
        <w:t>Фетисова</w:t>
      </w:r>
      <w:r>
        <w:rPr>
          <w:rStyle w:val="Acopre"/>
          <w:rFonts w:eastAsia="MingLiU;細明體" w:cs="Garamond" w:ascii="Garamond" w:hAnsi="Garamond"/>
          <w:sz w:val="24"/>
          <w:szCs w:val="24"/>
        </w:rPr>
        <w:t>, 2015,</w:t>
      </w:r>
      <w:r>
        <w:rPr>
          <w:rFonts w:eastAsia="MingLiU;細明體" w:cs="Garamond" w:ascii="Garamond" w:hAnsi="Garamond"/>
          <w:sz w:val="24"/>
          <w:szCs w:val="24"/>
        </w:rPr>
        <w:t xml:space="preserve"> с. 14–19].</w:t>
      </w:r>
    </w:p>
    <w:p>
      <w:pPr>
        <w:pStyle w:val="Normal"/>
        <w:ind w:end="-31" w:firstLine="720"/>
        <w:jc w:val="both"/>
        <w:rPr/>
      </w:pPr>
      <w:r>
        <w:rPr>
          <w:rFonts w:eastAsia="MingLiU;細明體" w:cs="Garamond" w:ascii="Garamond" w:hAnsi="Garamond"/>
          <w:sz w:val="24"/>
          <w:szCs w:val="24"/>
        </w:rPr>
        <w:t>С осени 1928 по осень 1937 г. было проведено 15 сезонов раскопок [</w:t>
      </w:r>
      <w:r>
        <w:rPr>
          <w:rStyle w:val="Style18"/>
          <w:rFonts w:eastAsia="MingLiU;細明體" w:cs="Garamond" w:ascii="Garamond" w:hAnsi="Garamond"/>
          <w:i w:val="false"/>
          <w:sz w:val="24"/>
          <w:szCs w:val="24"/>
        </w:rPr>
        <w:t>Li Chi</w:t>
      </w:r>
      <w:r>
        <w:rPr>
          <w:rFonts w:eastAsia="MingLiU;細明體" w:cs="Garamond" w:ascii="Garamond" w:hAnsi="Garamond"/>
          <w:sz w:val="24"/>
          <w:szCs w:val="24"/>
        </w:rPr>
        <w:t xml:space="preserve">, 1972]. </w:t>
      </w:r>
      <w:r>
        <w:rPr>
          <w:rStyle w:val="D2edcug0"/>
          <w:rFonts w:eastAsia="MingLiU;細明體" w:cs="Garamond" w:ascii="Garamond" w:hAnsi="Garamond"/>
          <w:sz w:val="24"/>
          <w:szCs w:val="24"/>
        </w:rPr>
        <w:t>Первоначальная задача была выполнена более чем успешно: были обнаружены ямы с крупными коллекциями гадательных костей с надписями (своеобразными «архивами»); помимо этого, был раскрыт комплекс культовых строений близ деревни Сяотунь (</w:t>
      </w:r>
      <w:r>
        <w:rPr>
          <w:rStyle w:val="D2edcug0"/>
          <w:rFonts w:ascii="Garamond" w:hAnsi="Garamond" w:eastAsia="MingLiU;細明體"/>
          <w:sz w:val="24"/>
          <w:szCs w:val="24"/>
          <w:lang w:val="en-US"/>
        </w:rPr>
        <w:t>小屯</w:t>
      </w:r>
      <w:r>
        <w:rPr>
          <w:rStyle w:val="D2edcug0"/>
          <w:rFonts w:eastAsia="MingLiU;細明體" w:cs="Garamond" w:ascii="Garamond" w:hAnsi="Garamond"/>
          <w:sz w:val="24"/>
          <w:szCs w:val="24"/>
        </w:rPr>
        <w:t>), а в 1934 г. — царский некрополь близ деревни Хоуцзячжуан (</w:t>
      </w:r>
      <w:r>
        <w:rPr>
          <w:rStyle w:val="D2edcug0"/>
          <w:rFonts w:ascii="Garamond" w:hAnsi="Garamond" w:eastAsia="MingLiU;細明體"/>
          <w:sz w:val="24"/>
          <w:szCs w:val="24"/>
        </w:rPr>
        <w:t>候家庄</w:t>
      </w:r>
      <w:r>
        <w:rPr>
          <w:rStyle w:val="D2edcug0"/>
          <w:rFonts w:eastAsia="MingLiU;細明體" w:cs="Garamond" w:ascii="Garamond" w:hAnsi="Garamond"/>
          <w:sz w:val="24"/>
          <w:szCs w:val="24"/>
        </w:rPr>
        <w:t>)</w:t>
      </w:r>
      <w:r>
        <w:rPr>
          <w:rStyle w:val="Style14"/>
          <w:rStyle w:val="Style20"/>
          <w:rFonts w:eastAsia="MingLiU;細明體" w:cs="Garamond" w:ascii="Garamond" w:hAnsi="Garamond"/>
          <w:sz w:val="24"/>
          <w:szCs w:val="24"/>
        </w:rPr>
        <w:footnoteReference w:id="7"/>
      </w:r>
      <w:r>
        <w:rPr>
          <w:rStyle w:val="D2edcug0"/>
          <w:rFonts w:eastAsia="MingLiU;細明體" w:cs="Garamond" w:ascii="Garamond" w:hAnsi="Garamond"/>
          <w:sz w:val="24"/>
          <w:szCs w:val="24"/>
        </w:rPr>
        <w:t>, а также ряд ремесленных мастерских, поселенческих структур, погребений, жертвенных ям и т. д.</w:t>
      </w:r>
      <w:r>
        <w:rPr>
          <w:rFonts w:eastAsia="MingLiU;細明體" w:cs="Garamond" w:ascii="Garamond" w:hAnsi="Garamond"/>
          <w:sz w:val="24"/>
          <w:szCs w:val="24"/>
        </w:rPr>
        <w:t xml:space="preserve"> </w:t>
      </w:r>
    </w:p>
    <w:p>
      <w:pPr>
        <w:pStyle w:val="Normal"/>
        <w:ind w:end="-31" w:hanging="0"/>
        <w:jc w:val="center"/>
        <w:rPr>
          <w:rStyle w:val="D2edcug0"/>
          <w:rFonts w:ascii="Garamond" w:hAnsi="Garamond" w:eastAsia="MingLiU;細明體" w:cs="Garamond"/>
          <w:sz w:val="24"/>
          <w:szCs w:val="24"/>
        </w:rPr>
      </w:pPr>
      <w:r>
        <w:rPr>
          <w:rStyle w:val="D2edcug0"/>
          <w:rFonts w:eastAsia="MingLiU;細明體" w:cs="Garamond" w:ascii="Garamond" w:hAnsi="Garamond"/>
          <w:sz w:val="24"/>
          <w:szCs w:val="24"/>
        </w:rPr>
        <w:drawing>
          <wp:inline distT="0" distB="0" distL="0" distR="0">
            <wp:extent cx="5603875" cy="5852160"/>
            <wp:effectExtent l="0" t="0" r="0" b="0"/>
            <wp:docPr id="2"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title=""/>
                    <pic:cNvPicPr>
                      <a:picLocks noChangeAspect="1" noChangeArrowheads="1"/>
                    </pic:cNvPicPr>
                  </pic:nvPicPr>
                  <pic:blipFill>
                    <a:blip r:embed="rId3"/>
                    <a:srcRect l="-6" t="-6" r="-6" b="-6"/>
                    <a:stretch>
                      <a:fillRect/>
                    </a:stretch>
                  </pic:blipFill>
                  <pic:spPr bwMode="auto">
                    <a:xfrm>
                      <a:off x="0" y="0"/>
                      <a:ext cx="5603875" cy="5852160"/>
                    </a:xfrm>
                    <a:prstGeom prst="rect">
                      <a:avLst/>
                    </a:prstGeom>
                  </pic:spPr>
                </pic:pic>
              </a:graphicData>
            </a:graphic>
          </wp:inline>
        </w:drawing>
      </w:r>
    </w:p>
    <w:p>
      <w:pPr>
        <w:pStyle w:val="Normal"/>
        <w:ind w:end="-31" w:hanging="0"/>
        <w:jc w:val="center"/>
        <w:rPr>
          <w:rFonts w:ascii="Garamond" w:hAnsi="Garamond" w:eastAsia="MingLiU;細明體" w:cs="Garamond"/>
          <w:sz w:val="22"/>
          <w:szCs w:val="22"/>
        </w:rPr>
      </w:pPr>
      <w:r>
        <w:rPr>
          <w:rStyle w:val="D2edcug0"/>
          <w:rFonts w:eastAsia="MingLiU;細明體" w:cs="Garamond" w:ascii="Garamond" w:hAnsi="Garamond"/>
          <w:i/>
          <w:sz w:val="22"/>
          <w:szCs w:val="22"/>
        </w:rPr>
        <w:t>Илл. 1</w:t>
      </w:r>
      <w:r>
        <w:rPr>
          <w:rStyle w:val="D2edcug0"/>
          <w:rFonts w:eastAsia="MingLiU;細明體" w:cs="Garamond" w:ascii="Garamond" w:hAnsi="Garamond"/>
          <w:sz w:val="22"/>
          <w:szCs w:val="22"/>
        </w:rPr>
        <w:t xml:space="preserve">. </w:t>
      </w:r>
      <w:r>
        <w:rPr>
          <w:rFonts w:eastAsia="MingLiU;細明體" w:cs="Garamond" w:ascii="Garamond" w:hAnsi="Garamond"/>
          <w:sz w:val="22"/>
          <w:szCs w:val="22"/>
        </w:rPr>
        <w:t xml:space="preserve">Карта </w:t>
      </w:r>
      <w:r>
        <w:rPr>
          <w:rStyle w:val="D2edcug0"/>
          <w:rFonts w:eastAsia="MingLiU;細明體" w:cs="Garamond" w:ascii="Garamond" w:hAnsi="Garamond"/>
          <w:sz w:val="22"/>
          <w:szCs w:val="22"/>
        </w:rPr>
        <w:t>археологического комплекса Шан-Иньского времени близ Аньяна</w:t>
      </w:r>
    </w:p>
    <w:p>
      <w:pPr>
        <w:pStyle w:val="Normal"/>
        <w:ind w:end="-31" w:hanging="0"/>
        <w:jc w:val="center"/>
        <w:rPr>
          <w:rStyle w:val="D2edcug0"/>
          <w:rFonts w:ascii="Garamond" w:hAnsi="Garamond" w:eastAsia="MingLiU;細明體" w:cs="Garamond"/>
          <w:sz w:val="22"/>
          <w:szCs w:val="22"/>
        </w:rPr>
      </w:pPr>
      <w:r>
        <w:rPr>
          <w:rFonts w:eastAsia="MingLiU;細明體" w:cs="Garamond" w:ascii="Garamond" w:hAnsi="Garamond"/>
          <w:sz w:val="22"/>
          <w:szCs w:val="22"/>
        </w:rPr>
        <w:t>(подготовлена на основе публикации археологического отчета «Сяотунь близ Аньяна» [Институт археологии, 2004, р. 3])</w:t>
      </w:r>
    </w:p>
    <w:p>
      <w:pPr>
        <w:pStyle w:val="Normal"/>
        <w:ind w:end="-31" w:hanging="0"/>
        <w:jc w:val="both"/>
        <w:rPr>
          <w:rStyle w:val="D2edcug0"/>
          <w:rFonts w:ascii="Garamond" w:hAnsi="Garamond" w:eastAsia="MingLiU;細明體" w:cs="Garamond"/>
          <w:sz w:val="16"/>
          <w:szCs w:val="16"/>
        </w:rPr>
      </w:pPr>
      <w:r>
        <w:rPr/>
      </w:r>
    </w:p>
    <w:p>
      <w:pPr>
        <w:pStyle w:val="Normal"/>
        <w:ind w:end="-31" w:firstLine="720"/>
        <w:jc w:val="both"/>
        <w:rPr/>
      </w:pPr>
      <w:r>
        <w:rPr>
          <w:rStyle w:val="D2edcug0"/>
          <w:rFonts w:eastAsia="MingLiU;細明體" w:cs="Garamond" w:ascii="Garamond" w:hAnsi="Garamond"/>
          <w:sz w:val="24"/>
          <w:szCs w:val="24"/>
        </w:rPr>
        <w:t>Археологическое исследование местности под Аньяном возобновилось в 1950 г. и продолжается по сей день. Из крупнейших открытий после 1950 г. можно считать крупное городище, окруженное земляными валами, к северу от реки Хуаньхэ (</w:t>
      </w:r>
      <w:r>
        <w:rPr>
          <w:rFonts w:ascii="Garamond" w:hAnsi="Garamond" w:eastAsia="MingLiU;細明體"/>
          <w:sz w:val="24"/>
          <w:szCs w:val="24"/>
          <w:lang w:val="en-US"/>
        </w:rPr>
        <w:t>洹河</w:t>
      </w:r>
      <w:r>
        <w:rPr>
          <w:rStyle w:val="D2edcug0"/>
          <w:rFonts w:eastAsia="MingLiU;細明體" w:cs="Garamond" w:ascii="Garamond" w:hAnsi="Garamond"/>
          <w:sz w:val="24"/>
          <w:szCs w:val="24"/>
        </w:rPr>
        <w:t>)</w:t>
      </w:r>
      <w:r>
        <w:rPr>
          <w:rStyle w:val="Style14"/>
          <w:rStyle w:val="Style20"/>
          <w:rFonts w:eastAsia="MingLiU;細明體" w:cs="Garamond" w:ascii="Garamond" w:hAnsi="Garamond"/>
          <w:sz w:val="24"/>
          <w:szCs w:val="24"/>
        </w:rPr>
        <w:footnoteReference w:id="8"/>
      </w:r>
      <w:r>
        <w:rPr>
          <w:rStyle w:val="D2edcug0"/>
          <w:rFonts w:eastAsia="MingLiU;細明體" w:cs="Garamond" w:ascii="Garamond" w:hAnsi="Garamond"/>
          <w:sz w:val="24"/>
          <w:szCs w:val="24"/>
        </w:rPr>
        <w:t>, раскопки которого были инициированы в 1999–2000 гг., крупные бронзолитейные и косторезные  мастерские;  несколько  жилых  районов  и  ряд  крупных  кладбищ</w:t>
      </w:r>
      <w:r>
        <w:rPr>
          <w:rStyle w:val="Style14"/>
          <w:rStyle w:val="Style20"/>
          <w:rFonts w:eastAsia="MingLiU;細明體" w:cs="Garamond" w:ascii="Garamond" w:hAnsi="Garamond"/>
          <w:sz w:val="24"/>
          <w:szCs w:val="24"/>
        </w:rPr>
        <w:footnoteReference w:id="9"/>
      </w:r>
      <w:r>
        <w:rPr>
          <w:rStyle w:val="D2edcug0"/>
          <w:rFonts w:eastAsia="MingLiU;細明體" w:cs="Garamond" w:ascii="Garamond" w:hAnsi="Garamond"/>
          <w:sz w:val="24"/>
          <w:szCs w:val="24"/>
        </w:rPr>
        <w:t xml:space="preserve"> [</w:t>
      </w:r>
      <w:r>
        <w:rPr>
          <w:rStyle w:val="Style18"/>
          <w:rFonts w:eastAsia="MingLiU;細明體" w:cs="Garamond" w:ascii="Garamond" w:hAnsi="Garamond"/>
          <w:i w:val="false"/>
          <w:sz w:val="24"/>
          <w:szCs w:val="24"/>
        </w:rPr>
        <w:t>Кузнецова</w:t>
      </w:r>
      <w:r>
        <w:rPr>
          <w:rStyle w:val="Acopre"/>
          <w:rFonts w:eastAsia="MingLiU;細明體" w:cs="Garamond" w:ascii="Garamond" w:hAnsi="Garamond"/>
          <w:i/>
          <w:sz w:val="24"/>
          <w:szCs w:val="24"/>
        </w:rPr>
        <w:t>-</w:t>
      </w:r>
      <w:r>
        <w:rPr>
          <w:rStyle w:val="Style18"/>
          <w:rFonts w:eastAsia="MingLiU;細明體" w:cs="Garamond" w:ascii="Garamond" w:hAnsi="Garamond"/>
          <w:i w:val="false"/>
          <w:sz w:val="24"/>
          <w:szCs w:val="24"/>
        </w:rPr>
        <w:t>Фетисова</w:t>
      </w:r>
      <w:r>
        <w:rPr>
          <w:rStyle w:val="Acopre"/>
          <w:rFonts w:eastAsia="MingLiU;細明體" w:cs="Garamond" w:ascii="Garamond" w:hAnsi="Garamond"/>
          <w:sz w:val="24"/>
          <w:szCs w:val="24"/>
        </w:rPr>
        <w:t>, 2015,</w:t>
      </w:r>
      <w:r>
        <w:rPr>
          <w:rFonts w:eastAsia="MingLiU;細明體" w:cs="Garamond" w:ascii="Garamond" w:hAnsi="Garamond"/>
          <w:sz w:val="24"/>
          <w:szCs w:val="24"/>
        </w:rPr>
        <w:t xml:space="preserve"> </w:t>
      </w:r>
      <w:r>
        <w:rPr>
          <w:rStyle w:val="D2edcug0"/>
          <w:rFonts w:eastAsia="MingLiU;細明體" w:cs="Garamond" w:ascii="Garamond" w:hAnsi="Garamond"/>
          <w:sz w:val="24"/>
          <w:szCs w:val="24"/>
        </w:rPr>
        <w:t xml:space="preserve">с. 68]. </w:t>
      </w:r>
    </w:p>
    <w:p>
      <w:pPr>
        <w:pStyle w:val="Normal"/>
        <w:ind w:end="-31" w:firstLine="720"/>
        <w:jc w:val="both"/>
        <w:rPr>
          <w:rStyle w:val="D2edcug0"/>
          <w:rFonts w:ascii="Garamond" w:hAnsi="Garamond" w:eastAsia="MingLiU;細明體" w:cs="Garamond"/>
          <w:sz w:val="24"/>
          <w:szCs w:val="24"/>
        </w:rPr>
      </w:pPr>
      <w:r>
        <w:rPr>
          <w:rStyle w:val="D2edcug0"/>
          <w:rFonts w:eastAsia="MingLiU;細明體" w:cs="Garamond" w:ascii="Garamond" w:hAnsi="Garamond"/>
          <w:sz w:val="24"/>
          <w:szCs w:val="24"/>
        </w:rPr>
        <w:t xml:space="preserve">Археологический комплекс Шан-Иньского времени близ Аньяна часто именуют </w:t>
      </w:r>
      <w:r>
        <w:rPr>
          <w:rFonts w:eastAsia="MingLiU;細明體" w:cs="Garamond" w:ascii="Garamond" w:hAnsi="Garamond"/>
          <w:sz w:val="24"/>
          <w:szCs w:val="24"/>
        </w:rPr>
        <w:t>Иньсюй (</w:t>
      </w:r>
      <w:r>
        <w:rPr>
          <w:rFonts w:ascii="Garamond" w:hAnsi="Garamond" w:eastAsia="MingLiU;細明體"/>
          <w:sz w:val="24"/>
          <w:szCs w:val="24"/>
          <w:lang w:val="en-US"/>
        </w:rPr>
        <w:t>殷墟</w:t>
      </w:r>
      <w:r>
        <w:rPr>
          <w:rFonts w:eastAsia="MingLiU;細明體" w:cs="Garamond" w:ascii="Garamond" w:hAnsi="Garamond"/>
          <w:sz w:val="24"/>
          <w:szCs w:val="24"/>
        </w:rPr>
        <w:t xml:space="preserve">) (другой вариант написания </w:t>
      </w:r>
      <w:r>
        <w:rPr>
          <w:rFonts w:ascii="Garamond" w:hAnsi="Garamond" w:eastAsia="MingLiU;細明體"/>
          <w:sz w:val="24"/>
          <w:szCs w:val="24"/>
        </w:rPr>
        <w:t>殷虛</w:t>
      </w:r>
      <w:r>
        <w:rPr>
          <w:rFonts w:eastAsia="MingLiU;細明體" w:cs="Garamond" w:ascii="Garamond" w:hAnsi="Garamond"/>
          <w:sz w:val="24"/>
          <w:szCs w:val="24"/>
        </w:rPr>
        <w:t>), или «Руины Инь». Это название неоднократно встречается в «Исторических записках» Сыма Цяня</w:t>
      </w:r>
      <w:r>
        <w:rPr>
          <w:rStyle w:val="Style14"/>
          <w:rStyle w:val="Style20"/>
          <w:rFonts w:eastAsia="MingLiU;細明體" w:cs="Garamond" w:ascii="Garamond" w:hAnsi="Garamond"/>
          <w:sz w:val="24"/>
          <w:szCs w:val="24"/>
        </w:rPr>
        <w:footnoteReference w:id="10"/>
      </w:r>
      <w:r>
        <w:rPr>
          <w:rFonts w:eastAsia="MingLiU;細明體" w:cs="Garamond" w:ascii="Garamond" w:hAnsi="Garamond"/>
          <w:sz w:val="24"/>
          <w:szCs w:val="24"/>
        </w:rPr>
        <w:t>; музейный комплекс, расположенный под Аньяном, называется «Музей Иньсюя» (</w:t>
      </w:r>
      <w:r>
        <w:rPr>
          <w:rFonts w:ascii="Garamond" w:hAnsi="Garamond" w:eastAsia="MingLiU;細明體"/>
          <w:sz w:val="24"/>
          <w:szCs w:val="24"/>
          <w:lang w:val="en-US"/>
        </w:rPr>
        <w:t>殷墟博物</w:t>
      </w:r>
      <w:r>
        <w:rPr>
          <w:rFonts w:ascii="Garamond" w:hAnsi="Garamond" w:cs="MingLiU_HKSCS-ExtB" w:eastAsia="MingLiU_HKSCS-ExtB"/>
          <w:sz w:val="24"/>
          <w:szCs w:val="24"/>
          <w:lang w:val="en-US"/>
        </w:rPr>
        <w:t>馆</w:t>
      </w:r>
      <w:r>
        <w:rPr>
          <w:rFonts w:eastAsia="MingLiU;細明體" w:cs="Garamond" w:ascii="Garamond" w:hAnsi="Garamond"/>
          <w:sz w:val="24"/>
          <w:szCs w:val="24"/>
        </w:rPr>
        <w:t>). В 1961 г. на этой территории был основан культурный заповедник общей площадью 24</w:t>
      </w:r>
      <w:r>
        <w:rPr>
          <w:rFonts w:eastAsia="MingLiU;細明體" w:cs="Garamond" w:ascii="Garamond" w:hAnsi="Garamond"/>
          <w:sz w:val="24"/>
          <w:szCs w:val="24"/>
          <w:lang w:val="en-US"/>
        </w:rPr>
        <w:t> </w:t>
      </w:r>
      <w:r>
        <w:rPr>
          <w:rFonts w:eastAsia="MingLiU;細明體" w:cs="Garamond" w:ascii="Garamond" w:hAnsi="Garamond"/>
          <w:sz w:val="24"/>
          <w:szCs w:val="24"/>
        </w:rPr>
        <w:t>кв.</w:t>
      </w:r>
      <w:r>
        <w:rPr>
          <w:rFonts w:eastAsia="MingLiU;細明體" w:cs="Garamond" w:ascii="Garamond" w:hAnsi="Garamond"/>
          <w:sz w:val="24"/>
          <w:szCs w:val="24"/>
          <w:lang w:val="en-US"/>
        </w:rPr>
        <w:t> </w:t>
      </w:r>
      <w:r>
        <w:rPr>
          <w:rFonts w:eastAsia="MingLiU;細明體" w:cs="Garamond" w:ascii="Garamond" w:hAnsi="Garamond"/>
          <w:sz w:val="24"/>
          <w:szCs w:val="24"/>
        </w:rPr>
        <w:t>км [Институт археологии, 1994, р. 16–17]. Охранный статус «объекта культурного наследия Китая, охраняемого государством»</w:t>
      </w:r>
      <w:r>
        <w:rPr>
          <w:rStyle w:val="Style14"/>
          <w:rStyle w:val="Style20"/>
          <w:rFonts w:eastAsia="MingLiU;細明體" w:cs="Garamond" w:ascii="Garamond" w:hAnsi="Garamond"/>
          <w:sz w:val="24"/>
          <w:szCs w:val="24"/>
        </w:rPr>
        <w:footnoteReference w:id="11"/>
      </w:r>
      <w:r>
        <w:rPr>
          <w:rFonts w:eastAsia="MingLiU;細明體" w:cs="Garamond" w:ascii="Garamond" w:hAnsi="Garamond"/>
          <w:sz w:val="24"/>
          <w:szCs w:val="24"/>
        </w:rPr>
        <w:t xml:space="preserve"> в 2005 г. был распространен на городище к северу от реки Хуаньхэ, и сейчас его общая площадь составляет чуть менее 30 кв. км (</w:t>
      </w:r>
      <w:r>
        <w:rPr>
          <w:rFonts w:eastAsia="MingLiU;細明體" w:cs="Garamond" w:ascii="Garamond" w:hAnsi="Garamond"/>
          <w:i/>
          <w:sz w:val="24"/>
          <w:szCs w:val="24"/>
        </w:rPr>
        <w:t>илл. 1</w:t>
      </w:r>
      <w:r>
        <w:rPr>
          <w:rFonts w:eastAsia="MingLiU;細明體" w:cs="Garamond" w:ascii="Garamond" w:hAnsi="Garamond"/>
          <w:sz w:val="24"/>
          <w:szCs w:val="24"/>
        </w:rPr>
        <w:t>).</w:t>
      </w:r>
    </w:p>
    <w:p>
      <w:pPr>
        <w:pStyle w:val="Normal"/>
        <w:ind w:end="-31" w:firstLine="720"/>
        <w:jc w:val="both"/>
        <w:rPr/>
      </w:pPr>
      <w:r>
        <w:rPr>
          <w:rStyle w:val="D2edcug0"/>
          <w:rFonts w:eastAsia="MingLiU;細明體" w:cs="Garamond" w:ascii="Garamond" w:hAnsi="Garamond"/>
          <w:sz w:val="24"/>
          <w:szCs w:val="24"/>
        </w:rPr>
        <w:t>На основе археологического исследования данной местности была разработана относительная хронология памятников Иньсюя, прежде всего по керамическим сериям, всего 4 периода. Взаимосвязь археологической хронологии Иньсюя с периодизацией надписей на гадательных костях и с абсолютными датами будут рассмотрена ниже.</w:t>
      </w:r>
    </w:p>
    <w:p>
      <w:pPr>
        <w:pStyle w:val="Normal"/>
        <w:ind w:end="-31" w:firstLine="720"/>
        <w:jc w:val="both"/>
        <w:rPr>
          <w:rStyle w:val="D2edcug0"/>
          <w:rFonts w:ascii="Garamond" w:hAnsi="Garamond" w:eastAsia="MingLiU;細明體" w:cs="Garamond"/>
          <w:sz w:val="24"/>
          <w:szCs w:val="24"/>
        </w:rPr>
      </w:pPr>
      <w:r>
        <w:rPr/>
      </w:r>
    </w:p>
    <w:p>
      <w:pPr>
        <w:pStyle w:val="Normal"/>
        <w:ind w:end="-31" w:firstLine="720"/>
        <w:jc w:val="both"/>
        <w:rPr>
          <w:rFonts w:ascii="Garamond" w:hAnsi="Garamond" w:eastAsia="MingLiU;細明體" w:cs="Garamond"/>
          <w:b/>
          <w:b/>
          <w:smallCaps/>
          <w:sz w:val="24"/>
          <w:szCs w:val="24"/>
        </w:rPr>
      </w:pPr>
      <w:r>
        <w:rPr>
          <w:rFonts w:eastAsia="MingLiU;細明體" w:cs="Garamond" w:ascii="Garamond" w:hAnsi="Garamond"/>
          <w:b/>
          <w:smallCaps/>
          <w:sz w:val="24"/>
          <w:szCs w:val="24"/>
        </w:rPr>
        <w:t>Надписи на гадательных костях и их периодизация</w:t>
      </w:r>
    </w:p>
    <w:p>
      <w:pPr>
        <w:pStyle w:val="Normal"/>
        <w:ind w:end="-31" w:firstLine="720"/>
        <w:jc w:val="both"/>
        <w:rPr>
          <w:rFonts w:ascii="Garamond" w:hAnsi="Garamond" w:eastAsia="MingLiU;細明體" w:cs="Garamond"/>
          <w:b/>
          <w:b/>
          <w:smallCaps/>
          <w:sz w:val="8"/>
          <w:szCs w:val="8"/>
        </w:rPr>
      </w:pPr>
      <w:r>
        <w:rPr>
          <w:rFonts w:eastAsia="MingLiU;細明體" w:cs="Garamond" w:ascii="Garamond" w:hAnsi="Garamond"/>
          <w:b/>
          <w:smallCaps/>
          <w:sz w:val="8"/>
          <w:szCs w:val="8"/>
        </w:rPr>
      </w:r>
    </w:p>
    <w:p>
      <w:pPr>
        <w:pStyle w:val="Normal"/>
        <w:ind w:end="-31" w:firstLine="720"/>
        <w:jc w:val="both"/>
        <w:rPr/>
      </w:pPr>
      <w:r>
        <w:rPr>
          <w:rFonts w:eastAsia="MingLiU;細明體" w:cs="Garamond" w:ascii="Garamond" w:hAnsi="Garamond"/>
          <w:sz w:val="24"/>
          <w:szCs w:val="24"/>
        </w:rPr>
        <w:t xml:space="preserve">С конца XIX в. началось коллекционирование гадательных костей с надписями. Из-за высокого спроса возникло производство подделок; раскопки под Аньяном в конце 1920-х гг. были в определенной степени попыткой получения НГК напрямую, а не через цепь посредников и перекупщиков. </w:t>
      </w:r>
    </w:p>
    <w:p>
      <w:pPr>
        <w:pStyle w:val="Normal"/>
        <w:ind w:end="-31" w:firstLine="720"/>
        <w:jc w:val="both"/>
        <w:rPr/>
      </w:pPr>
      <w:r>
        <w:rPr>
          <w:rFonts w:eastAsia="MingLiU;細明體" w:cs="Garamond" w:ascii="Garamond" w:hAnsi="Garamond"/>
          <w:sz w:val="24"/>
          <w:szCs w:val="24"/>
        </w:rPr>
        <w:t>На всей территории Иньсюя было сделано много находок гадательных костей без надписей; при этом абсолютное большинство костей с надписями было обнаружено вокруг культового комплекса близ деревни Сяотунь [</w:t>
      </w:r>
      <w:r>
        <w:rPr>
          <w:rStyle w:val="Style18"/>
          <w:rFonts w:eastAsia="MingLiU;細明體" w:cs="Garamond" w:ascii="Garamond" w:hAnsi="Garamond"/>
          <w:i w:val="false"/>
          <w:sz w:val="24"/>
          <w:szCs w:val="24"/>
        </w:rPr>
        <w:t>Кузнецова</w:t>
      </w:r>
      <w:r>
        <w:rPr>
          <w:rStyle w:val="Acopre"/>
          <w:rFonts w:eastAsia="MingLiU;細明體" w:cs="Garamond" w:ascii="Garamond" w:hAnsi="Garamond"/>
          <w:i/>
          <w:sz w:val="24"/>
          <w:szCs w:val="24"/>
        </w:rPr>
        <w:t>-</w:t>
      </w:r>
      <w:r>
        <w:rPr>
          <w:rStyle w:val="Style18"/>
          <w:rFonts w:eastAsia="MingLiU;細明體" w:cs="Garamond" w:ascii="Garamond" w:hAnsi="Garamond"/>
          <w:i w:val="false"/>
          <w:sz w:val="24"/>
          <w:szCs w:val="24"/>
        </w:rPr>
        <w:t>Фетисова</w:t>
      </w:r>
      <w:r>
        <w:rPr>
          <w:rStyle w:val="Acopre"/>
          <w:rFonts w:eastAsia="MingLiU;細明體" w:cs="Garamond" w:ascii="Garamond" w:hAnsi="Garamond"/>
          <w:sz w:val="24"/>
          <w:szCs w:val="24"/>
        </w:rPr>
        <w:t>, 2013,</w:t>
      </w:r>
      <w:r>
        <w:rPr>
          <w:rFonts w:eastAsia="MingLiU;細明體" w:cs="Garamond" w:ascii="Garamond" w:hAnsi="Garamond"/>
          <w:sz w:val="24"/>
          <w:szCs w:val="24"/>
        </w:rPr>
        <w:t xml:space="preserve"> с. 13]. Именно там были обнаружены несколько ям, заполненных преимущественно гадательными костями с надписями; в крупнейшей из них, H127, было выявлено более 17 тысяч фрагментов с надписями. </w:t>
      </w:r>
    </w:p>
    <w:p>
      <w:pPr>
        <w:pStyle w:val="Normal"/>
        <w:ind w:end="-31" w:firstLine="720"/>
        <w:jc w:val="both"/>
        <w:rPr/>
      </w:pPr>
      <w:r>
        <w:rPr>
          <w:rFonts w:eastAsia="MingLiU;細明體" w:cs="Garamond" w:ascii="Garamond" w:hAnsi="Garamond"/>
          <w:sz w:val="24"/>
          <w:szCs w:val="24"/>
        </w:rPr>
        <w:t>К настоящему моменту накоплен гигантский массив НГК. По самым скромным оценкам, гадательных костей с надписями насчитывается не менее 73.000 фрагментов [Ван Юйчжи, 2010, с. 142]; но чаще фигурирует вдвое большее количество — около 150 тысяч экземпляров. Прорисовок фрагментов НГК известно еще больше — около 216 тысяч [</w:t>
      </w:r>
      <w:r>
        <w:rPr>
          <w:rFonts w:eastAsia="MingLiU;細明體" w:cs="Garamond" w:ascii="Garamond" w:hAnsi="Garamond"/>
          <w:iCs/>
          <w:sz w:val="24"/>
          <w:szCs w:val="24"/>
        </w:rPr>
        <w:t>Ху Хоусюань, Ху Чжэнь-юй</w:t>
      </w:r>
      <w:r>
        <w:rPr>
          <w:rFonts w:eastAsia="MingLiU;細明體" w:cs="Garamond" w:ascii="Garamond" w:hAnsi="Garamond"/>
          <w:sz w:val="24"/>
          <w:szCs w:val="24"/>
        </w:rPr>
        <w:t xml:space="preserve">, 2003, </w:t>
      </w:r>
      <w:r>
        <w:rPr>
          <w:rFonts w:eastAsia="MingLiU;細明體" w:cs="Garamond" w:ascii="Garamond" w:hAnsi="Garamond"/>
          <w:sz w:val="24"/>
          <w:szCs w:val="24"/>
          <w:lang w:val="en-US"/>
        </w:rPr>
        <w:t>c</w:t>
      </w:r>
      <w:r>
        <w:rPr>
          <w:rFonts w:eastAsia="MingLiU;細明體" w:cs="Garamond" w:ascii="Garamond" w:hAnsi="Garamond"/>
          <w:sz w:val="24"/>
          <w:szCs w:val="24"/>
        </w:rPr>
        <w:t xml:space="preserve">. 404, 416; Шэнь Чжиюй, 2011, </w:t>
      </w:r>
      <w:r>
        <w:rPr>
          <w:rFonts w:eastAsia="MingLiU;細明體" w:cs="Garamond" w:ascii="Garamond" w:hAnsi="Garamond"/>
          <w:sz w:val="24"/>
          <w:szCs w:val="24"/>
          <w:lang w:val="en-US"/>
        </w:rPr>
        <w:t>c</w:t>
      </w:r>
      <w:r>
        <w:rPr>
          <w:rFonts w:eastAsia="MingLiU;細明體" w:cs="Garamond" w:ascii="Garamond" w:hAnsi="Garamond"/>
          <w:sz w:val="24"/>
          <w:szCs w:val="24"/>
        </w:rPr>
        <w:t xml:space="preserve">. 17]. </w:t>
      </w:r>
    </w:p>
    <w:p>
      <w:pPr>
        <w:pStyle w:val="Normal"/>
        <w:ind w:end="-31" w:firstLine="720"/>
        <w:jc w:val="both"/>
        <w:rPr>
          <w:rFonts w:ascii="Garamond" w:hAnsi="Garamond" w:eastAsia="MingLiU;細明體" w:cs="Garamond"/>
          <w:position w:val="5"/>
          <w:sz w:val="24"/>
          <w:szCs w:val="24"/>
        </w:rPr>
      </w:pPr>
      <w:r>
        <w:rPr>
          <w:rFonts w:eastAsia="MingLiU;細明體" w:cs="Garamond" w:ascii="Garamond" w:hAnsi="Garamond"/>
          <w:position w:val="6"/>
          <w:sz w:val="24"/>
          <w:szCs w:val="24"/>
        </w:rPr>
        <w:t xml:space="preserve">Некоторые из НГК образуют связанные общими темами и датами «комплексы», иногда насчитывающие десятки надписей на многих фрагментах. Наиболее выдающимся примером можно считать «комплексы» надписей, обнаруженных в яме Н3 близ деревни Хуаюаньчжуан в 1991 г. Общее количество обнаруженных фрагментов превышало 650, большинство из них были целостными </w:t>
      </w:r>
      <w:r>
        <w:rPr>
          <w:rFonts w:eastAsia="MingLiU;細明體" w:cs="Garamond" w:ascii="Garamond" w:hAnsi="Garamond"/>
          <w:sz w:val="24"/>
          <w:szCs w:val="24"/>
        </w:rPr>
        <w:t>пластронами [Институт археологии, 2003]. В монографии, посвященной переводам и изучению этого комплекса, Адам Шварц пишет:</w:t>
      </w:r>
      <w:r>
        <w:rPr>
          <w:rFonts w:eastAsia="MingLiU;細明體" w:cs="Garamond" w:ascii="Garamond" w:hAnsi="Garamond"/>
          <w:position w:val="6"/>
          <w:sz w:val="24"/>
          <w:szCs w:val="24"/>
        </w:rPr>
        <w:t xml:space="preserve"> </w:t>
      </w:r>
      <w:r>
        <w:rPr>
          <w:rFonts w:eastAsia="MingLiU;細明體" w:cs="Garamond" w:ascii="Garamond" w:hAnsi="Garamond"/>
          <w:sz w:val="24"/>
          <w:szCs w:val="24"/>
        </w:rPr>
        <w:t>«Коротко говоря, этот новый корпус надписей на гадательных костях особенно важен благодаря своей сохранности и неповрежденности, последовательности и взаимосвязанности надписей и того факта, что многие из надписей могут быть объединены в целостные гадательные комплекты, хронология которых охватывает недели и месяцы» [</w:t>
      </w:r>
      <w:r>
        <w:rPr>
          <w:rFonts w:eastAsia="MingLiU;細明體" w:cs="Garamond" w:ascii="Garamond" w:hAnsi="Garamond"/>
          <w:sz w:val="24"/>
          <w:szCs w:val="24"/>
          <w:lang w:val="en-US"/>
        </w:rPr>
        <w:t>Schwartz</w:t>
      </w:r>
      <w:r>
        <w:rPr>
          <w:rFonts w:eastAsia="MingLiU;細明體" w:cs="Garamond" w:ascii="Garamond" w:hAnsi="Garamond"/>
          <w:sz w:val="24"/>
          <w:szCs w:val="24"/>
        </w:rPr>
        <w:t>, 2019, р</w:t>
      </w:r>
      <w:r>
        <w:rPr>
          <w:rFonts w:eastAsia="MingLiU;細明體" w:cs="Garamond" w:ascii="Garamond" w:hAnsi="Garamond"/>
          <w:bCs/>
          <w:sz w:val="24"/>
          <w:szCs w:val="24"/>
        </w:rPr>
        <w:t>. 2]</w:t>
      </w:r>
      <w:r>
        <w:rPr>
          <w:rFonts w:eastAsia="MingLiU;細明體" w:cs="Garamond" w:ascii="Garamond" w:hAnsi="Garamond"/>
          <w:sz w:val="24"/>
          <w:szCs w:val="24"/>
        </w:rPr>
        <w:t>.</w:t>
      </w:r>
    </w:p>
    <w:p>
      <w:pPr>
        <w:pStyle w:val="Normal"/>
        <w:ind w:end="-31" w:firstLine="720"/>
        <w:jc w:val="both"/>
        <w:rPr/>
      </w:pPr>
      <w:r>
        <w:rPr>
          <w:rFonts w:eastAsia="MingLiU;細明體" w:cs="Garamond" w:ascii="Garamond" w:hAnsi="Garamond"/>
          <w:sz w:val="24"/>
          <w:szCs w:val="24"/>
        </w:rPr>
        <w:t>Периодизация НГК была разработана еще в первой половине XX в. Одним из важнейших наблюдений, сделанным учеными-палеографами Ло Чжэнюем (</w:t>
      </w:r>
      <w:r>
        <w:rPr>
          <w:rFonts w:ascii="Garamond" w:hAnsi="Garamond" w:cs="Garamond" w:eastAsia="SimSun;宋体"/>
          <w:sz w:val="24"/>
          <w:szCs w:val="24"/>
        </w:rPr>
        <w:t>罗</w:t>
      </w:r>
      <w:r>
        <w:rPr>
          <w:rFonts w:ascii="Garamond" w:hAnsi="Garamond" w:eastAsia="MingLiU;細明體"/>
          <w:sz w:val="24"/>
          <w:szCs w:val="24"/>
        </w:rPr>
        <w:t>振玉</w:t>
      </w:r>
      <w:r>
        <w:rPr>
          <w:rFonts w:eastAsia="MingLiU;細明體" w:cs="Garamond" w:ascii="Garamond" w:hAnsi="Garamond"/>
          <w:sz w:val="24"/>
          <w:szCs w:val="24"/>
        </w:rPr>
        <w:t>; 1866–1940) и Ван Говэем (</w:t>
      </w:r>
      <w:r>
        <w:rPr>
          <w:rFonts w:ascii="Garamond" w:hAnsi="Garamond" w:eastAsia="MingLiU;細明體"/>
          <w:sz w:val="24"/>
          <w:szCs w:val="24"/>
        </w:rPr>
        <w:t>王国</w:t>
      </w:r>
      <w:r>
        <w:rPr>
          <w:rFonts w:ascii="Garamond" w:hAnsi="Garamond" w:cs="Garamond" w:eastAsia="SimSun;宋体"/>
          <w:sz w:val="24"/>
          <w:szCs w:val="24"/>
        </w:rPr>
        <w:t>维</w:t>
      </w:r>
      <w:r>
        <w:rPr>
          <w:rFonts w:eastAsia="MingLiU;細明體" w:cs="Garamond" w:ascii="Garamond" w:hAnsi="Garamond"/>
          <w:sz w:val="24"/>
          <w:szCs w:val="24"/>
        </w:rPr>
        <w:t>; 1877–1927), было нередкое упоминание в НГК умерших родственников правителя: почившего отца или дядю обозначали «Отец Х»          (</w:t>
      </w:r>
      <w:r>
        <w:rPr>
          <w:rFonts w:ascii="Garamond" w:hAnsi="Garamond" w:eastAsia="MingLiU;細明體"/>
          <w:sz w:val="24"/>
          <w:szCs w:val="24"/>
        </w:rPr>
        <w:t>父</w:t>
      </w:r>
      <w:r>
        <w:rPr>
          <w:rFonts w:eastAsia="MingLiU;細明體" w:cs="Garamond" w:ascii="Garamond" w:hAnsi="Garamond"/>
          <w:sz w:val="24"/>
          <w:szCs w:val="24"/>
        </w:rPr>
        <w:t>X), старшего брата (</w:t>
      </w:r>
      <w:r>
        <w:rPr>
          <w:rFonts w:ascii="Garamond" w:hAnsi="Garamond" w:eastAsia="MingLiU;細明體"/>
          <w:sz w:val="24"/>
          <w:szCs w:val="24"/>
        </w:rPr>
        <w:t>兄</w:t>
      </w:r>
      <w:r>
        <w:rPr>
          <w:rFonts w:eastAsia="MingLiU;細明體" w:cs="Garamond" w:ascii="Garamond" w:hAnsi="Garamond"/>
          <w:sz w:val="24"/>
          <w:szCs w:val="24"/>
        </w:rPr>
        <w:t xml:space="preserve">X) и т. д. [Чэнь Мэнцзя, 1956, c. 135]. Порядок наследования престола правителями династии Шан был известен, прежде всего, на основе данных «Исторических записок» Сыма Цяня, хотя там не приводятся сведения о длительности правлений во II тыс. до н. э. При сопоставлении данных письменной традиции и НГК можно было вычислить одного или, максимум, нескольких правителей одного поколения, при которых определенное гадание могло иметь место. </w:t>
      </w:r>
    </w:p>
    <w:p>
      <w:pPr>
        <w:pStyle w:val="Normal"/>
        <w:ind w:end="-31" w:firstLine="720"/>
        <w:jc w:val="both"/>
        <w:rPr/>
      </w:pPr>
      <w:r>
        <w:rPr>
          <w:rFonts w:eastAsia="MingLiU;細明體" w:cs="Garamond" w:ascii="Garamond" w:hAnsi="Garamond"/>
          <w:sz w:val="24"/>
          <w:szCs w:val="24"/>
        </w:rPr>
        <w:t>Другим важным датирующим признаком были имена гадателей, упоминавшихся в НГК; исследователь Дун Цзобинь (</w:t>
      </w:r>
      <w:r>
        <w:rPr>
          <w:rFonts w:ascii="Garamond" w:hAnsi="Garamond" w:cs="MingLiU;細明體" w:eastAsia="MingLiU;細明體"/>
          <w:sz w:val="24"/>
          <w:szCs w:val="24"/>
        </w:rPr>
        <w:t>董作</w:t>
      </w:r>
      <w:r>
        <w:rPr>
          <w:rFonts w:ascii="Garamond" w:hAnsi="Garamond" w:cs="Garamond" w:eastAsia="SimSun;宋体"/>
          <w:sz w:val="24"/>
          <w:szCs w:val="24"/>
        </w:rPr>
        <w:t>宾</w:t>
      </w:r>
      <w:r>
        <w:rPr>
          <w:rFonts w:eastAsia="MingLiU;細明體" w:cs="Garamond" w:ascii="Garamond" w:hAnsi="Garamond"/>
          <w:sz w:val="24"/>
          <w:szCs w:val="24"/>
        </w:rPr>
        <w:t>; 1895–1963) предположил, что надписи, где упоминается одно и то же имя гадателя, должны по временной шкале отстоять сравнительно недалеко друг от друга.</w:t>
      </w:r>
    </w:p>
    <w:p>
      <w:pPr>
        <w:pStyle w:val="Normal"/>
        <w:ind w:end="-31" w:firstLine="720"/>
        <w:jc w:val="both"/>
        <w:rPr/>
      </w:pPr>
      <w:r>
        <w:rPr>
          <w:rFonts w:eastAsia="MingLiU;細明體" w:cs="Garamond" w:ascii="Garamond" w:hAnsi="Garamond"/>
          <w:sz w:val="24"/>
          <w:szCs w:val="24"/>
        </w:rPr>
        <w:t>Основанная Дун Цзобинем система датировки охватывала период более 200 лет; в ней было выделено 5 периодов [Дун Цзобинь, 1933]:</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I — Пань Гэн, Сяо Синь, Сяо И, У Дин;</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II — Цзу Гэн, Цзу Цзя;</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III — Лин Синь, Кан Дин;</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IV — У И, Вэнь Дин;</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V — Ди И, Ди Синь.</w:t>
      </w:r>
    </w:p>
    <w:p>
      <w:pPr>
        <w:pStyle w:val="Normal"/>
        <w:ind w:end="-31" w:firstLine="720"/>
        <w:jc w:val="both"/>
        <w:rPr/>
      </w:pPr>
      <w:r>
        <w:rPr>
          <w:rFonts w:eastAsia="MingLiU;細明體" w:cs="Garamond" w:ascii="Garamond" w:hAnsi="Garamond"/>
          <w:sz w:val="24"/>
          <w:szCs w:val="24"/>
        </w:rPr>
        <w:t>Впоследствии эта система неоднократно подвергалась уточнениям и изменениям</w:t>
      </w:r>
      <w:r>
        <w:rPr>
          <w:rStyle w:val="Style14"/>
          <w:rStyle w:val="Style20"/>
          <w:rFonts w:eastAsia="MingLiU;細明體" w:cs="Garamond" w:ascii="Garamond" w:hAnsi="Garamond"/>
          <w:sz w:val="24"/>
          <w:szCs w:val="24"/>
        </w:rPr>
        <w:footnoteReference w:id="12"/>
      </w:r>
      <w:r>
        <w:rPr>
          <w:rFonts w:eastAsia="MingLiU;細明體" w:cs="Garamond" w:ascii="Garamond" w:hAnsi="Garamond"/>
          <w:sz w:val="24"/>
          <w:szCs w:val="24"/>
        </w:rPr>
        <w:t xml:space="preserve">, но в своей основе продолжает использоваться как основа периодизации НГК. Одним из важнейших изменений является исключение из </w:t>
      </w:r>
      <w:r>
        <w:rPr>
          <w:rFonts w:eastAsia="MingLiU;細明體" w:cs="Garamond" w:ascii="Garamond" w:hAnsi="Garamond"/>
          <w:sz w:val="24"/>
          <w:szCs w:val="24"/>
          <w:lang w:val="en-US"/>
        </w:rPr>
        <w:t>I</w:t>
      </w:r>
      <w:r>
        <w:rPr>
          <w:rFonts w:eastAsia="MingLiU;細明體" w:cs="Garamond" w:ascii="Garamond" w:hAnsi="Garamond"/>
          <w:sz w:val="24"/>
          <w:szCs w:val="24"/>
        </w:rPr>
        <w:t> периода правителей Пань Гэна, Сяо Синя и Сяо</w:t>
      </w:r>
      <w:r>
        <w:rPr>
          <w:rFonts w:eastAsia="MingLiU;細明體" w:cs="Garamond" w:ascii="Garamond" w:hAnsi="Garamond"/>
          <w:sz w:val="24"/>
          <w:szCs w:val="24"/>
          <w:lang w:val="en-US"/>
        </w:rPr>
        <w:t> </w:t>
      </w:r>
      <w:r>
        <w:rPr>
          <w:rFonts w:eastAsia="MingLiU;細明體" w:cs="Garamond" w:ascii="Garamond" w:hAnsi="Garamond"/>
          <w:sz w:val="24"/>
          <w:szCs w:val="24"/>
        </w:rPr>
        <w:t>И, поскольку нет надписей, однозначно подтверждающих их создание при этих правителях</w:t>
      </w:r>
      <w:r>
        <w:rPr>
          <w:rStyle w:val="Style14"/>
          <w:rStyle w:val="Style20"/>
          <w:rFonts w:eastAsia="MingLiU;細明體" w:cs="Garamond" w:ascii="Garamond" w:hAnsi="Garamond"/>
          <w:sz w:val="24"/>
          <w:szCs w:val="24"/>
        </w:rPr>
        <w:footnoteReference w:id="13"/>
      </w:r>
      <w:r>
        <w:rPr>
          <w:rFonts w:eastAsia="MingLiU;細明體" w:cs="Garamond" w:ascii="Garamond" w:hAnsi="Garamond"/>
          <w:sz w:val="24"/>
          <w:szCs w:val="24"/>
        </w:rPr>
        <w:t xml:space="preserve">. </w:t>
      </w:r>
    </w:p>
    <w:p>
      <w:pPr>
        <w:pStyle w:val="Normal"/>
        <w:ind w:end="-31" w:firstLine="720"/>
        <w:jc w:val="both"/>
        <w:rPr>
          <w:rFonts w:ascii="Garamond" w:hAnsi="Garamond" w:eastAsia="MingLiU;細明體" w:cs="Garamond"/>
          <w:position w:val="6"/>
          <w:sz w:val="24"/>
          <w:szCs w:val="24"/>
        </w:rPr>
      </w:pPr>
      <w:r>
        <w:rPr>
          <w:rFonts w:eastAsia="MingLiU;細明體" w:cs="Garamond" w:ascii="Garamond" w:hAnsi="Garamond"/>
          <w:position w:val="6"/>
          <w:sz w:val="24"/>
          <w:szCs w:val="24"/>
        </w:rPr>
      </w:r>
    </w:p>
    <w:p>
      <w:pPr>
        <w:pStyle w:val="Normal"/>
        <w:ind w:end="-31" w:firstLine="720"/>
        <w:jc w:val="both"/>
        <w:rPr/>
      </w:pPr>
      <w:r>
        <w:rPr>
          <w:rFonts w:eastAsia="MingLiU;細明體" w:cs="Garamond" w:ascii="Garamond" w:hAnsi="Garamond"/>
          <w:b/>
          <w:smallCaps/>
          <w:position w:val="6"/>
          <w:sz w:val="24"/>
          <w:szCs w:val="24"/>
        </w:rPr>
        <w:t>Связь археологической периодизации Иньсюя</w:t>
      </w:r>
    </w:p>
    <w:p>
      <w:pPr>
        <w:pStyle w:val="Normal"/>
        <w:ind w:end="-31" w:firstLine="720"/>
        <w:jc w:val="both"/>
        <w:rPr>
          <w:rFonts w:ascii="Garamond" w:hAnsi="Garamond" w:eastAsia="MingLiU;細明體" w:cs="Garamond"/>
          <w:b/>
          <w:b/>
          <w:smallCaps/>
          <w:position w:val="6"/>
          <w:sz w:val="24"/>
          <w:szCs w:val="24"/>
        </w:rPr>
      </w:pPr>
      <w:r>
        <w:rPr>
          <w:rFonts w:eastAsia="MingLiU;細明體" w:cs="Garamond" w:ascii="Garamond" w:hAnsi="Garamond"/>
          <w:b/>
          <w:smallCaps/>
          <w:position w:val="6"/>
          <w:sz w:val="24"/>
          <w:szCs w:val="24"/>
        </w:rPr>
        <w:t>и периодизации НГК</w:t>
      </w:r>
    </w:p>
    <w:p>
      <w:pPr>
        <w:pStyle w:val="Normal"/>
        <w:ind w:end="-31" w:firstLine="720"/>
        <w:jc w:val="both"/>
        <w:rPr>
          <w:rFonts w:ascii="Garamond" w:hAnsi="Garamond" w:eastAsia="MingLiU;細明體" w:cs="Garamond"/>
          <w:b/>
          <w:b/>
          <w:smallCaps/>
          <w:position w:val="6"/>
          <w:sz w:val="8"/>
          <w:szCs w:val="8"/>
        </w:rPr>
      </w:pPr>
      <w:r>
        <w:rPr>
          <w:rFonts w:eastAsia="MingLiU;細明體" w:cs="Garamond" w:ascii="Garamond" w:hAnsi="Garamond"/>
          <w:b/>
          <w:smallCaps/>
          <w:position w:val="6"/>
          <w:sz w:val="8"/>
          <w:szCs w:val="8"/>
        </w:rPr>
      </w:r>
    </w:p>
    <w:p>
      <w:pPr>
        <w:pStyle w:val="Normal"/>
        <w:ind w:end="-31" w:firstLine="720"/>
        <w:jc w:val="both"/>
        <w:rPr>
          <w:rFonts w:ascii="Garamond" w:hAnsi="Garamond" w:eastAsia="MingLiU;細明體" w:cs="Garamond"/>
          <w:position w:val="6"/>
          <w:sz w:val="24"/>
          <w:szCs w:val="24"/>
        </w:rPr>
      </w:pPr>
      <w:r>
        <w:rPr>
          <w:rFonts w:eastAsia="MingLiU;細明體" w:cs="Garamond" w:ascii="Garamond" w:hAnsi="Garamond"/>
          <w:position w:val="6"/>
          <w:sz w:val="24"/>
          <w:szCs w:val="24"/>
        </w:rPr>
        <w:t>Таким образом, на археологических материалах и по данным надписей на гадательных костях было построено две относительных периодизации. Их получилось связать, поскольку носители надписей — гадательные кости — в определенном количестве были обнаружены при организованных археологических раскопках Иньсюя.</w:t>
      </w:r>
    </w:p>
    <w:p>
      <w:pPr>
        <w:pStyle w:val="Normal"/>
        <w:ind w:end="-31" w:firstLine="720"/>
        <w:jc w:val="both"/>
        <w:rPr/>
      </w:pPr>
      <w:r>
        <w:rPr>
          <w:rFonts w:eastAsia="MingLiU;細明體" w:cs="Garamond" w:ascii="Garamond" w:hAnsi="Garamond"/>
          <w:sz w:val="24"/>
          <w:szCs w:val="24"/>
        </w:rPr>
        <w:t>Наиболее распространенная схема соотношения четырех археологических периодов Иньсюя и пяти периодов НГК построена археологами КНР. Стратиграфические слои с находками гадательных костей с надписями, относящихся к правлению У Дина соответствуют II археологическому периоду Иньсюя; НГК V периода (правления Ди И и Ди Синя) соответствуют IV археологическому периоду Иньсюя.</w:t>
      </w:r>
    </w:p>
    <w:p>
      <w:pPr>
        <w:pStyle w:val="Normal"/>
        <w:ind w:end="-31" w:firstLine="720"/>
        <w:jc w:val="both"/>
        <w:rPr/>
      </w:pPr>
      <w:r>
        <w:rPr/>
        <w:t>В самом общем виде их соотношение можно представить в следующем виде:</w:t>
      </w:r>
    </w:p>
    <w:tbl>
      <w:tblPr>
        <w:tblW w:w="8830" w:type="dxa"/>
        <w:jc w:val="start"/>
        <w:tblInd w:w="-5" w:type="dxa"/>
        <w:tblLayout w:type="fixed"/>
        <w:tblCellMar>
          <w:top w:w="0" w:type="dxa"/>
          <w:start w:w="108" w:type="dxa"/>
          <w:bottom w:w="0" w:type="dxa"/>
          <w:end w:w="108" w:type="dxa"/>
        </w:tblCellMar>
      </w:tblPr>
      <w:tblGrid>
        <w:gridCol w:w="3600"/>
        <w:gridCol w:w="5230"/>
      </w:tblGrid>
      <w:tr>
        <w:trPr/>
        <w:tc>
          <w:tcPr>
            <w:tcW w:w="3600" w:type="dxa"/>
            <w:tcBorders>
              <w:top w:val="single" w:sz="4" w:space="0" w:color="000000"/>
              <w:start w:val="single" w:sz="4" w:space="0" w:color="000000"/>
              <w:bottom w:val="single" w:sz="4" w:space="0" w:color="000000"/>
              <w:end w:val="single" w:sz="4" w:space="0" w:color="000000"/>
            </w:tcBorders>
          </w:tcPr>
          <w:p>
            <w:pPr>
              <w:pStyle w:val="Normal"/>
              <w:snapToGrid w:val="false"/>
              <w:ind w:end="-31" w:hanging="0"/>
              <w:jc w:val="center"/>
              <w:rPr>
                <w:rStyle w:val="D2edcug0"/>
                <w:rFonts w:ascii="Garamond" w:hAnsi="Garamond" w:eastAsia="MingLiU;細明體" w:cs="Garamond"/>
                <w:i/>
                <w:i/>
                <w:sz w:val="8"/>
                <w:szCs w:val="8"/>
              </w:rPr>
            </w:pPr>
            <w:r>
              <w:rPr/>
            </w:r>
          </w:p>
          <w:p>
            <w:pPr>
              <w:pStyle w:val="Normal"/>
              <w:ind w:end="-31" w:hanging="0"/>
              <w:jc w:val="center"/>
              <w:rPr/>
            </w:pPr>
            <w:r>
              <w:rPr>
                <w:rStyle w:val="D2edcug0"/>
                <w:rFonts w:eastAsia="MingLiU;細明體" w:cs="Garamond" w:ascii="Garamond" w:hAnsi="Garamond"/>
                <w:i/>
                <w:sz w:val="24"/>
                <w:szCs w:val="24"/>
              </w:rPr>
              <w:t>Археологическая периодизация</w:t>
            </w:r>
          </w:p>
          <w:p>
            <w:pPr>
              <w:pStyle w:val="Normal"/>
              <w:ind w:end="-31" w:hanging="0"/>
              <w:jc w:val="center"/>
              <w:rPr>
                <w:rStyle w:val="D2edcug0"/>
                <w:rFonts w:ascii="Garamond" w:hAnsi="Garamond" w:eastAsia="MingLiU;細明體" w:cs="Garamond"/>
                <w:i/>
                <w:i/>
                <w:sz w:val="8"/>
                <w:szCs w:val="8"/>
              </w:rPr>
            </w:pPr>
            <w:r>
              <w:rPr/>
            </w:r>
          </w:p>
        </w:tc>
        <w:tc>
          <w:tcPr>
            <w:tcW w:w="5230" w:type="dxa"/>
            <w:tcBorders>
              <w:top w:val="single" w:sz="4" w:space="0" w:color="000000"/>
              <w:start w:val="single" w:sz="4" w:space="0" w:color="000000"/>
              <w:bottom w:val="single" w:sz="4" w:space="0" w:color="000000"/>
              <w:end w:val="single" w:sz="4" w:space="0" w:color="000000"/>
            </w:tcBorders>
          </w:tcPr>
          <w:p>
            <w:pPr>
              <w:pStyle w:val="Normal"/>
              <w:snapToGrid w:val="false"/>
              <w:ind w:end="-31" w:hanging="0"/>
              <w:jc w:val="center"/>
              <w:rPr>
                <w:rStyle w:val="D2edcug0"/>
                <w:rFonts w:ascii="Garamond" w:hAnsi="Garamond" w:eastAsia="MingLiU;細明體" w:cs="Garamond"/>
                <w:i/>
                <w:i/>
                <w:sz w:val="8"/>
                <w:szCs w:val="8"/>
              </w:rPr>
            </w:pPr>
            <w:r>
              <w:rPr/>
            </w:r>
          </w:p>
          <w:p>
            <w:pPr>
              <w:pStyle w:val="Normal"/>
              <w:ind w:end="-31" w:hanging="0"/>
              <w:jc w:val="center"/>
              <w:rPr/>
            </w:pPr>
            <w:r>
              <w:rPr>
                <w:rStyle w:val="D2edcug0"/>
                <w:rFonts w:eastAsia="MingLiU;細明體" w:cs="Garamond" w:ascii="Garamond" w:hAnsi="Garamond"/>
                <w:i/>
                <w:sz w:val="24"/>
                <w:szCs w:val="24"/>
              </w:rPr>
              <w:t>5 периодов НГК</w:t>
            </w:r>
          </w:p>
        </w:tc>
      </w:tr>
      <w:tr>
        <w:trPr/>
        <w:tc>
          <w:tcPr>
            <w:tcW w:w="3600" w:type="dxa"/>
            <w:tcBorders>
              <w:top w:val="single" w:sz="4" w:space="0" w:color="000000"/>
              <w:start w:val="single" w:sz="4" w:space="0" w:color="000000"/>
              <w:bottom w:val="single" w:sz="4" w:space="0" w:color="000000"/>
              <w:end w:val="single" w:sz="4" w:space="0" w:color="000000"/>
            </w:tcBorders>
          </w:tcPr>
          <w:p>
            <w:pPr>
              <w:pStyle w:val="Normal"/>
              <w:ind w:end="-31" w:hanging="0"/>
              <w:jc w:val="both"/>
              <w:rPr/>
            </w:pPr>
            <w:r>
              <w:rPr>
                <w:rStyle w:val="D2edcug0"/>
                <w:rFonts w:eastAsia="MingLiU;細明體" w:cs="Garamond" w:ascii="Garamond" w:hAnsi="Garamond"/>
                <w:sz w:val="24"/>
                <w:szCs w:val="24"/>
              </w:rPr>
              <w:t>1 период —  ранний этап</w:t>
            </w:r>
          </w:p>
          <w:p>
            <w:pPr>
              <w:pStyle w:val="Normal"/>
              <w:ind w:end="-31" w:hanging="0"/>
              <w:jc w:val="both"/>
              <w:rPr/>
            </w:pPr>
            <w:r>
              <w:rPr>
                <w:rStyle w:val="D2edcug0"/>
                <w:rFonts w:eastAsia="MingLiU;細明體" w:cs="Garamond" w:ascii="Garamond" w:hAnsi="Garamond"/>
                <w:sz w:val="24"/>
                <w:szCs w:val="24"/>
              </w:rPr>
              <w:t>1 период — поздний этап</w:t>
            </w:r>
          </w:p>
        </w:tc>
        <w:tc>
          <w:tcPr>
            <w:tcW w:w="5230" w:type="dxa"/>
            <w:tcBorders>
              <w:top w:val="single" w:sz="4" w:space="0" w:color="000000"/>
              <w:start w:val="single" w:sz="4" w:space="0" w:color="000000"/>
              <w:bottom w:val="single" w:sz="4" w:space="0" w:color="000000"/>
              <w:end w:val="single" w:sz="4" w:space="0" w:color="000000"/>
            </w:tcBorders>
          </w:tcPr>
          <w:p>
            <w:pPr>
              <w:pStyle w:val="Normal"/>
              <w:ind w:end="-31" w:hanging="0"/>
              <w:jc w:val="both"/>
              <w:rPr/>
            </w:pPr>
            <w:r>
              <w:rPr>
                <w:rStyle w:val="D2edcug0"/>
                <w:rFonts w:eastAsia="MingLiU;細明體" w:cs="Garamond" w:ascii="Garamond" w:hAnsi="Garamond"/>
                <w:sz w:val="24"/>
                <w:szCs w:val="24"/>
              </w:rPr>
              <w:t xml:space="preserve">(?) </w:t>
            </w:r>
            <w:r>
              <w:rPr>
                <w:rStyle w:val="D2edcug0"/>
                <w:rFonts w:eastAsia="MingLiU;細明體" w:cs="Garamond" w:ascii="Garamond" w:hAnsi="Garamond"/>
                <w:sz w:val="24"/>
                <w:szCs w:val="24"/>
                <w:lang w:val="en-US"/>
              </w:rPr>
              <w:t>I</w:t>
            </w:r>
            <w:r>
              <w:rPr>
                <w:rStyle w:val="D2edcug0"/>
                <w:rFonts w:eastAsia="MingLiU;細明體" w:cs="Garamond" w:ascii="Garamond" w:hAnsi="Garamond"/>
                <w:sz w:val="24"/>
                <w:szCs w:val="24"/>
              </w:rPr>
              <w:t xml:space="preserve"> период НГК, правление У Дина</w:t>
            </w:r>
          </w:p>
        </w:tc>
      </w:tr>
      <w:tr>
        <w:trPr/>
        <w:tc>
          <w:tcPr>
            <w:tcW w:w="3600" w:type="dxa"/>
            <w:tcBorders>
              <w:top w:val="single" w:sz="4" w:space="0" w:color="000000"/>
              <w:start w:val="single" w:sz="4" w:space="0" w:color="000000"/>
              <w:bottom w:val="single" w:sz="4" w:space="0" w:color="000000"/>
              <w:end w:val="single" w:sz="4" w:space="0" w:color="000000"/>
            </w:tcBorders>
          </w:tcPr>
          <w:p>
            <w:pPr>
              <w:pStyle w:val="Normal"/>
              <w:ind w:end="-31" w:hanging="0"/>
              <w:jc w:val="both"/>
              <w:rPr/>
            </w:pPr>
            <w:r>
              <w:rPr>
                <w:rStyle w:val="D2edcug0"/>
                <w:rFonts w:eastAsia="MingLiU;細明體" w:cs="Garamond" w:ascii="Garamond" w:hAnsi="Garamond"/>
                <w:sz w:val="24"/>
                <w:szCs w:val="24"/>
              </w:rPr>
              <w:t xml:space="preserve">2 период </w:t>
            </w:r>
            <w:r>
              <w:rPr>
                <w:rStyle w:val="D2edcug0"/>
                <w:rFonts w:eastAsia="MingLiU;細明體" w:cs="Garamond" w:ascii="Garamond" w:hAnsi="Garamond"/>
                <w:sz w:val="24"/>
                <w:szCs w:val="24"/>
                <w:lang w:val="en-US"/>
              </w:rPr>
              <w:t>—</w:t>
            </w:r>
            <w:r>
              <w:rPr>
                <w:rStyle w:val="D2edcug0"/>
                <w:rFonts w:eastAsia="MingLiU;細明體" w:cs="Garamond" w:ascii="Garamond" w:hAnsi="Garamond"/>
                <w:sz w:val="24"/>
                <w:szCs w:val="24"/>
              </w:rPr>
              <w:t xml:space="preserve"> ранний этап</w:t>
            </w:r>
          </w:p>
          <w:p>
            <w:pPr>
              <w:pStyle w:val="Normal"/>
              <w:ind w:end="-31" w:hanging="0"/>
              <w:jc w:val="both"/>
              <w:rPr/>
            </w:pPr>
            <w:r>
              <w:rPr>
                <w:rStyle w:val="D2edcug0"/>
                <w:rFonts w:eastAsia="MingLiU;細明體" w:cs="Garamond" w:ascii="Garamond" w:hAnsi="Garamond"/>
                <w:sz w:val="24"/>
                <w:szCs w:val="24"/>
              </w:rPr>
              <w:t xml:space="preserve">2 период </w:t>
            </w:r>
            <w:r>
              <w:rPr>
                <w:rStyle w:val="D2edcug0"/>
                <w:rFonts w:eastAsia="MingLiU;細明體" w:cs="Garamond" w:ascii="Garamond" w:hAnsi="Garamond"/>
                <w:sz w:val="24"/>
                <w:szCs w:val="24"/>
                <w:lang w:val="en-US"/>
              </w:rPr>
              <w:t>—</w:t>
            </w:r>
            <w:r>
              <w:rPr>
                <w:rStyle w:val="D2edcug0"/>
                <w:rFonts w:eastAsia="MingLiU;細明體" w:cs="Garamond" w:ascii="Garamond" w:hAnsi="Garamond"/>
                <w:sz w:val="24"/>
                <w:szCs w:val="24"/>
              </w:rPr>
              <w:t xml:space="preserve"> поздний этап</w:t>
            </w:r>
          </w:p>
        </w:tc>
        <w:tc>
          <w:tcPr>
            <w:tcW w:w="5230" w:type="dxa"/>
            <w:tcBorders>
              <w:top w:val="single" w:sz="4" w:space="0" w:color="000000"/>
              <w:start w:val="single" w:sz="4" w:space="0" w:color="000000"/>
              <w:bottom w:val="single" w:sz="4" w:space="0" w:color="000000"/>
              <w:end w:val="single" w:sz="4" w:space="0" w:color="000000"/>
            </w:tcBorders>
          </w:tcPr>
          <w:p>
            <w:pPr>
              <w:pStyle w:val="Normal"/>
              <w:ind w:end="-31" w:hanging="0"/>
              <w:jc w:val="both"/>
              <w:rPr>
                <w:rFonts w:ascii="Garamond" w:hAnsi="Garamond" w:eastAsia="MingLiU;細明體" w:cs="Garamond"/>
                <w:sz w:val="24"/>
                <w:szCs w:val="24"/>
              </w:rPr>
            </w:pPr>
            <w:r>
              <w:rPr>
                <w:rStyle w:val="D2edcug0"/>
                <w:rFonts w:eastAsia="MingLiU;細明體" w:cs="Garamond" w:ascii="Garamond" w:hAnsi="Garamond"/>
                <w:sz w:val="24"/>
                <w:szCs w:val="24"/>
                <w:lang w:val="en-US"/>
              </w:rPr>
              <w:t>I</w:t>
            </w:r>
            <w:r>
              <w:rPr>
                <w:rStyle w:val="D2edcug0"/>
                <w:rFonts w:eastAsia="MingLiU;細明體" w:cs="Garamond" w:ascii="Garamond" w:hAnsi="Garamond"/>
                <w:sz w:val="24"/>
                <w:szCs w:val="24"/>
              </w:rPr>
              <w:t xml:space="preserve"> период НГК, правление У Дина</w:t>
            </w:r>
          </w:p>
          <w:p>
            <w:pPr>
              <w:pStyle w:val="Normal"/>
              <w:ind w:end="-31" w:hanging="0"/>
              <w:jc w:val="both"/>
              <w:rPr>
                <w:rStyle w:val="D2edcug0"/>
                <w:rFonts w:ascii="Garamond" w:hAnsi="Garamond" w:eastAsia="MingLiU;細明體" w:cs="Garamond"/>
                <w:sz w:val="24"/>
                <w:szCs w:val="24"/>
              </w:rPr>
            </w:pPr>
            <w:r>
              <w:rPr>
                <w:rFonts w:eastAsia="MingLiU;細明體" w:cs="Garamond" w:ascii="Garamond" w:hAnsi="Garamond"/>
                <w:sz w:val="24"/>
                <w:szCs w:val="24"/>
                <w:lang w:val="en-US"/>
              </w:rPr>
              <w:t>II</w:t>
            </w:r>
            <w:r>
              <w:rPr>
                <w:rStyle w:val="D2edcug0"/>
                <w:rFonts w:eastAsia="MingLiU;細明體" w:cs="Garamond" w:ascii="Garamond" w:hAnsi="Garamond"/>
                <w:sz w:val="24"/>
                <w:szCs w:val="24"/>
              </w:rPr>
              <w:t xml:space="preserve"> период НГК,</w:t>
            </w:r>
            <w:r>
              <w:rPr>
                <w:rFonts w:eastAsia="MingLiU;細明體" w:cs="Garamond" w:ascii="Garamond" w:hAnsi="Garamond"/>
                <w:sz w:val="24"/>
                <w:szCs w:val="24"/>
              </w:rPr>
              <w:t xml:space="preserve"> правление Цзу Гэна, Цзу Цзя</w:t>
            </w:r>
          </w:p>
        </w:tc>
      </w:tr>
      <w:tr>
        <w:trPr/>
        <w:tc>
          <w:tcPr>
            <w:tcW w:w="3600" w:type="dxa"/>
            <w:tcBorders>
              <w:top w:val="single" w:sz="4" w:space="0" w:color="000000"/>
              <w:start w:val="single" w:sz="4" w:space="0" w:color="000000"/>
              <w:bottom w:val="single" w:sz="4" w:space="0" w:color="000000"/>
              <w:end w:val="single" w:sz="4" w:space="0" w:color="000000"/>
            </w:tcBorders>
          </w:tcPr>
          <w:p>
            <w:pPr>
              <w:pStyle w:val="Normal"/>
              <w:ind w:end="-31" w:hanging="0"/>
              <w:jc w:val="both"/>
              <w:rPr/>
            </w:pPr>
            <w:r>
              <w:rPr>
                <w:rStyle w:val="D2edcug0"/>
                <w:rFonts w:eastAsia="MingLiU;細明體" w:cs="Garamond" w:ascii="Garamond" w:hAnsi="Garamond"/>
                <w:sz w:val="24"/>
                <w:szCs w:val="24"/>
              </w:rPr>
              <w:t>3 период</w:t>
            </w:r>
          </w:p>
        </w:tc>
        <w:tc>
          <w:tcPr>
            <w:tcW w:w="5230" w:type="dxa"/>
            <w:tcBorders>
              <w:top w:val="single" w:sz="4" w:space="0" w:color="000000"/>
              <w:start w:val="single" w:sz="4" w:space="0" w:color="000000"/>
              <w:bottom w:val="single" w:sz="4" w:space="0" w:color="000000"/>
              <w:end w:val="single" w:sz="4" w:space="0" w:color="000000"/>
            </w:tcBorders>
          </w:tcPr>
          <w:p>
            <w:pPr>
              <w:pStyle w:val="Normal"/>
              <w:ind w:end="-31" w:hanging="0"/>
              <w:jc w:val="both"/>
              <w:rPr>
                <w:rStyle w:val="D2edcug0"/>
                <w:rFonts w:ascii="Garamond" w:hAnsi="Garamond" w:eastAsia="MingLiU;細明體" w:cs="Garamond"/>
                <w:sz w:val="24"/>
                <w:szCs w:val="24"/>
              </w:rPr>
            </w:pPr>
            <w:r>
              <w:rPr>
                <w:rFonts w:eastAsia="MingLiU;細明體" w:cs="Garamond" w:ascii="Garamond" w:hAnsi="Garamond"/>
                <w:sz w:val="24"/>
                <w:szCs w:val="24"/>
                <w:lang w:val="en-US"/>
              </w:rPr>
              <w:t>III</w:t>
            </w:r>
            <w:r>
              <w:rPr>
                <w:rFonts w:eastAsia="MingLiU;細明體" w:cs="Garamond" w:ascii="Garamond" w:hAnsi="Garamond"/>
                <w:sz w:val="24"/>
                <w:szCs w:val="24"/>
              </w:rPr>
              <w:t xml:space="preserve">, </w:t>
            </w:r>
            <w:r>
              <w:rPr>
                <w:rFonts w:eastAsia="MingLiU;細明體" w:cs="Garamond" w:ascii="Garamond" w:hAnsi="Garamond"/>
                <w:sz w:val="24"/>
                <w:szCs w:val="24"/>
                <w:lang w:val="en-US"/>
              </w:rPr>
              <w:t>IV</w:t>
            </w:r>
            <w:r>
              <w:rPr>
                <w:rFonts w:eastAsia="MingLiU;細明體" w:cs="Garamond" w:ascii="Garamond" w:hAnsi="Garamond"/>
                <w:sz w:val="24"/>
                <w:szCs w:val="24"/>
              </w:rPr>
              <w:t xml:space="preserve"> </w:t>
            </w:r>
            <w:r>
              <w:rPr>
                <w:rStyle w:val="D2edcug0"/>
                <w:rFonts w:eastAsia="MingLiU;細明體" w:cs="Garamond" w:ascii="Garamond" w:hAnsi="Garamond"/>
                <w:sz w:val="24"/>
                <w:szCs w:val="24"/>
              </w:rPr>
              <w:t xml:space="preserve">периоды НГК, </w:t>
            </w:r>
            <w:r>
              <w:rPr>
                <w:rFonts w:eastAsia="MingLiU;細明體" w:cs="Garamond" w:ascii="Garamond" w:hAnsi="Garamond"/>
                <w:sz w:val="24"/>
                <w:szCs w:val="24"/>
              </w:rPr>
              <w:t>правители от Лин Синь до Вэнь Дина</w:t>
            </w:r>
          </w:p>
        </w:tc>
      </w:tr>
      <w:tr>
        <w:trPr/>
        <w:tc>
          <w:tcPr>
            <w:tcW w:w="3600" w:type="dxa"/>
            <w:tcBorders>
              <w:top w:val="single" w:sz="4" w:space="0" w:color="000000"/>
              <w:start w:val="single" w:sz="4" w:space="0" w:color="000000"/>
              <w:bottom w:val="single" w:sz="4" w:space="0" w:color="000000"/>
              <w:end w:val="single" w:sz="4" w:space="0" w:color="000000"/>
            </w:tcBorders>
          </w:tcPr>
          <w:p>
            <w:pPr>
              <w:pStyle w:val="Normal"/>
              <w:ind w:end="-31" w:hanging="0"/>
              <w:jc w:val="both"/>
              <w:rPr/>
            </w:pPr>
            <w:r>
              <w:rPr>
                <w:rStyle w:val="D2edcug0"/>
                <w:rFonts w:eastAsia="MingLiU;細明體" w:cs="Garamond" w:ascii="Garamond" w:hAnsi="Garamond"/>
                <w:sz w:val="24"/>
                <w:szCs w:val="24"/>
              </w:rPr>
              <w:t>4 период</w:t>
            </w:r>
          </w:p>
        </w:tc>
        <w:tc>
          <w:tcPr>
            <w:tcW w:w="5230" w:type="dxa"/>
            <w:tcBorders>
              <w:top w:val="single" w:sz="4" w:space="0" w:color="000000"/>
              <w:start w:val="single" w:sz="4" w:space="0" w:color="000000"/>
              <w:bottom w:val="single" w:sz="4" w:space="0" w:color="000000"/>
              <w:end w:val="single" w:sz="4" w:space="0" w:color="000000"/>
            </w:tcBorders>
          </w:tcPr>
          <w:p>
            <w:pPr>
              <w:pStyle w:val="Normal"/>
              <w:ind w:end="-31" w:hanging="0"/>
              <w:jc w:val="both"/>
              <w:rPr/>
            </w:pPr>
            <w:r>
              <w:rPr>
                <w:rFonts w:eastAsia="MingLiU;細明體" w:cs="Garamond" w:ascii="Garamond" w:hAnsi="Garamond"/>
                <w:sz w:val="24"/>
                <w:szCs w:val="24"/>
                <w:lang w:val="en-US"/>
              </w:rPr>
              <w:t>V</w:t>
            </w:r>
            <w:r>
              <w:rPr>
                <w:rStyle w:val="D2edcug0"/>
                <w:rFonts w:eastAsia="MingLiU;細明體" w:cs="Garamond" w:ascii="Garamond" w:hAnsi="Garamond"/>
                <w:sz w:val="24"/>
                <w:szCs w:val="24"/>
              </w:rPr>
              <w:t xml:space="preserve"> период НГК, </w:t>
            </w:r>
            <w:r>
              <w:rPr>
                <w:rFonts w:eastAsia="MingLiU;細明體" w:cs="Garamond" w:ascii="Garamond" w:hAnsi="Garamond"/>
                <w:sz w:val="24"/>
                <w:szCs w:val="24"/>
              </w:rPr>
              <w:t>Правление Ди И и Ди Синя</w:t>
            </w:r>
          </w:p>
          <w:p>
            <w:pPr>
              <w:pStyle w:val="Normal"/>
              <w:ind w:end="-31" w:hanging="0"/>
              <w:jc w:val="both"/>
              <w:rPr>
                <w:rFonts w:ascii="Garamond" w:hAnsi="Garamond" w:eastAsia="MingLiU;細明體" w:cs="Garamond"/>
                <w:sz w:val="8"/>
                <w:szCs w:val="8"/>
              </w:rPr>
            </w:pPr>
            <w:r>
              <w:rPr>
                <w:rFonts w:eastAsia="MingLiU;細明體" w:cs="Garamond" w:ascii="Garamond" w:hAnsi="Garamond"/>
                <w:sz w:val="8"/>
                <w:szCs w:val="8"/>
              </w:rPr>
            </w:r>
          </w:p>
        </w:tc>
      </w:tr>
    </w:tbl>
    <w:p>
      <w:pPr>
        <w:pStyle w:val="Normal"/>
        <w:ind w:end="-31" w:firstLine="720"/>
        <w:jc w:val="both"/>
        <w:rPr>
          <w:rStyle w:val="D2edcug0"/>
          <w:rFonts w:ascii="Garamond" w:hAnsi="Garamond" w:eastAsia="MingLiU;細明體" w:cs="Garamond"/>
          <w:sz w:val="16"/>
          <w:szCs w:val="16"/>
        </w:rPr>
      </w:pPr>
      <w:r>
        <w:rPr/>
      </w:r>
    </w:p>
    <w:p>
      <w:pPr>
        <w:pStyle w:val="Normal"/>
        <w:tabs>
          <w:tab w:val="clear" w:pos="709"/>
          <w:tab w:val="left" w:pos="1701" w:leader="none"/>
        </w:tabs>
        <w:ind w:end="-31" w:firstLine="720"/>
        <w:jc w:val="both"/>
        <w:rPr/>
      </w:pPr>
      <w:r>
        <w:rPr>
          <w:rStyle w:val="D2edcug0"/>
          <w:rFonts w:eastAsia="MingLiU;細明體" w:cs="Garamond" w:ascii="Garamond" w:hAnsi="Garamond"/>
          <w:sz w:val="24"/>
          <w:szCs w:val="24"/>
        </w:rPr>
        <w:t xml:space="preserve">Как правило, </w:t>
      </w:r>
      <w:r>
        <w:rPr>
          <w:rStyle w:val="D2edcug0"/>
          <w:rFonts w:eastAsia="MingLiU;細明體" w:cs="Garamond" w:ascii="Garamond" w:hAnsi="Garamond"/>
          <w:sz w:val="24"/>
          <w:szCs w:val="24"/>
          <w:lang w:val="en-US"/>
        </w:rPr>
        <w:t>I </w:t>
      </w:r>
      <w:r>
        <w:rPr>
          <w:rStyle w:val="D2edcug0"/>
          <w:rFonts w:eastAsia="MingLiU;細明體" w:cs="Garamond" w:ascii="Garamond" w:hAnsi="Garamond"/>
          <w:sz w:val="24"/>
          <w:szCs w:val="24"/>
        </w:rPr>
        <w:t>период археологической периодизации (или же его ранний этап), предшествующий слоям с находками гадательных костей с надписями, относящихся к правлению У</w:t>
      </w:r>
      <w:r>
        <w:rPr>
          <w:rStyle w:val="D2edcug0"/>
          <w:rFonts w:eastAsia="MingLiU;細明體" w:cs="Garamond" w:ascii="Garamond" w:hAnsi="Garamond"/>
          <w:sz w:val="24"/>
          <w:szCs w:val="24"/>
          <w:lang w:val="en-US"/>
        </w:rPr>
        <w:t> </w:t>
      </w:r>
      <w:r>
        <w:rPr>
          <w:rStyle w:val="D2edcug0"/>
          <w:rFonts w:eastAsia="MingLiU;細明體" w:cs="Garamond" w:ascii="Garamond" w:hAnsi="Garamond"/>
          <w:sz w:val="24"/>
          <w:szCs w:val="24"/>
        </w:rPr>
        <w:t xml:space="preserve">Дина, китайские специалисты относят к периоду правления ванов </w:t>
      </w:r>
      <w:r>
        <w:rPr>
          <w:rFonts w:eastAsia="MingLiU;細明體" w:cs="Garamond" w:ascii="Garamond" w:hAnsi="Garamond"/>
          <w:sz w:val="24"/>
          <w:szCs w:val="24"/>
        </w:rPr>
        <w:t>Пань Гэна, Сяо Синя и Сяо</w:t>
      </w:r>
      <w:r>
        <w:rPr>
          <w:rFonts w:eastAsia="MingLiU;細明體" w:cs="Garamond" w:ascii="Garamond" w:hAnsi="Garamond"/>
          <w:sz w:val="24"/>
          <w:szCs w:val="24"/>
          <w:lang w:val="en-US"/>
        </w:rPr>
        <w:t> </w:t>
      </w:r>
      <w:r>
        <w:rPr>
          <w:rFonts w:eastAsia="MingLiU;細明體" w:cs="Garamond" w:ascii="Garamond" w:hAnsi="Garamond"/>
          <w:sz w:val="24"/>
          <w:szCs w:val="24"/>
        </w:rPr>
        <w:t>И</w:t>
      </w:r>
      <w:r>
        <w:rPr>
          <w:rStyle w:val="D2edcug0"/>
          <w:rFonts w:eastAsia="MingLiU;細明體" w:cs="Garamond" w:ascii="Garamond" w:hAnsi="Garamond"/>
          <w:sz w:val="24"/>
          <w:szCs w:val="24"/>
        </w:rPr>
        <w:t xml:space="preserve"> [</w:t>
      </w:r>
      <w:r>
        <w:rPr>
          <w:rFonts w:eastAsia="MingLiU;細明體" w:cs="Garamond" w:ascii="Garamond" w:hAnsi="Garamond"/>
          <w:sz w:val="24"/>
          <w:szCs w:val="24"/>
        </w:rPr>
        <w:t xml:space="preserve">Инь Вэйчжан, 2004, </w:t>
      </w:r>
      <w:r>
        <w:rPr>
          <w:rFonts w:eastAsia="MingLiU;細明體" w:cs="Garamond" w:ascii="Garamond" w:hAnsi="Garamond"/>
          <w:sz w:val="24"/>
          <w:szCs w:val="24"/>
          <w:lang w:val="en-US"/>
        </w:rPr>
        <w:t>c</w:t>
      </w:r>
      <w:r>
        <w:rPr>
          <w:rFonts w:eastAsia="MingLiU;細明體" w:cs="Garamond" w:ascii="Garamond" w:hAnsi="Garamond"/>
          <w:sz w:val="24"/>
          <w:szCs w:val="24"/>
        </w:rPr>
        <w:t>. 33; Институт археологии, 1994,</w:t>
      </w:r>
      <w:r>
        <w:rPr>
          <w:rStyle w:val="D2edcug0"/>
          <w:rFonts w:eastAsia="MingLiU;細明體" w:cs="Garamond" w:ascii="Garamond" w:hAnsi="Garamond"/>
          <w:sz w:val="24"/>
          <w:szCs w:val="24"/>
        </w:rPr>
        <w:t xml:space="preserve"> </w:t>
      </w:r>
      <w:r>
        <w:rPr>
          <w:rStyle w:val="D2edcug0"/>
          <w:rFonts w:eastAsia="MingLiU;細明體" w:cs="Garamond" w:ascii="Garamond" w:hAnsi="Garamond"/>
          <w:sz w:val="24"/>
          <w:szCs w:val="24"/>
          <w:lang w:val="en-US"/>
        </w:rPr>
        <w:t>c</w:t>
      </w:r>
      <w:r>
        <w:rPr>
          <w:rStyle w:val="D2edcug0"/>
          <w:rFonts w:eastAsia="MingLiU;細明體" w:cs="Garamond" w:ascii="Garamond" w:hAnsi="Garamond"/>
          <w:sz w:val="24"/>
          <w:szCs w:val="24"/>
        </w:rPr>
        <w:t>. 25–39]. Находки гадательных костей с надписями, обнаруживаемыми в этих слоях, считают относящимися к этим правителям [</w:t>
      </w:r>
      <w:r>
        <w:rPr>
          <w:rFonts w:eastAsia="MingLiU;細明體" w:cs="Garamond" w:ascii="Garamond" w:hAnsi="Garamond"/>
          <w:sz w:val="24"/>
          <w:szCs w:val="24"/>
        </w:rPr>
        <w:t>Цао Дин’юнь</w:t>
      </w:r>
      <w:r>
        <w:rPr>
          <w:rStyle w:val="D2edcug0"/>
          <w:rFonts w:eastAsia="MingLiU;細明體" w:cs="Garamond" w:ascii="Garamond" w:hAnsi="Garamond"/>
          <w:sz w:val="24"/>
          <w:szCs w:val="24"/>
        </w:rPr>
        <w:t xml:space="preserve">, 2004, </w:t>
      </w:r>
      <w:r>
        <w:rPr>
          <w:rStyle w:val="D2edcug0"/>
          <w:rFonts w:eastAsia="MingLiU;細明體" w:cs="Garamond" w:ascii="Garamond" w:hAnsi="Garamond"/>
          <w:sz w:val="24"/>
          <w:szCs w:val="24"/>
          <w:lang w:val="en-US"/>
        </w:rPr>
        <w:t>c</w:t>
      </w:r>
      <w:r>
        <w:rPr>
          <w:rStyle w:val="D2edcug0"/>
          <w:rFonts w:eastAsia="MingLiU;細明體" w:cs="Garamond" w:ascii="Garamond" w:hAnsi="Garamond"/>
          <w:sz w:val="24"/>
          <w:szCs w:val="24"/>
        </w:rPr>
        <w:t>. 184–185].</w:t>
      </w:r>
    </w:p>
    <w:p>
      <w:pPr>
        <w:pStyle w:val="Normal"/>
        <w:ind w:end="-31" w:firstLine="720"/>
        <w:jc w:val="both"/>
        <w:rPr/>
      </w:pPr>
      <w:r>
        <w:rPr>
          <w:rStyle w:val="D2edcug0"/>
          <w:rFonts w:eastAsia="MingLiU;細明體" w:cs="Garamond" w:ascii="Garamond" w:hAnsi="Garamond"/>
          <w:sz w:val="24"/>
          <w:szCs w:val="24"/>
        </w:rPr>
        <w:t xml:space="preserve">Здесь следует обратить внимание на отсутствие полноценных эпиграфических доказательств о нахождении в этой местности поселения при правителях </w:t>
      </w:r>
      <w:r>
        <w:rPr>
          <w:rFonts w:eastAsia="MingLiU;細明體" w:cs="Garamond" w:ascii="Garamond" w:hAnsi="Garamond"/>
          <w:sz w:val="24"/>
          <w:szCs w:val="24"/>
        </w:rPr>
        <w:t>Пань Гэне, Сяо Сине, Сяо И. Это, несомненно, влияние версии из позднейших письменных источников о перенесении Пань Гэном столицы в местность Инь, которую связывают с возникновением Иньсюя. В связи с этим некоторые исследователи не без оснований заявляют, что о существовании исторического поселения на этой территории можем говорить только с периода правления У Дина, с которого и начинаются первые однозначно датируемые надписи на гадательных костях [</w:t>
      </w:r>
      <w:r>
        <w:rPr>
          <w:rFonts w:eastAsia="MingLiU;細明體" w:cs="Garamond" w:ascii="Garamond" w:hAnsi="Garamond"/>
          <w:sz w:val="24"/>
          <w:szCs w:val="24"/>
          <w:lang w:val="en-US"/>
        </w:rPr>
        <w:t>Keightley</w:t>
      </w:r>
      <w:r>
        <w:rPr>
          <w:rFonts w:eastAsia="MingLiU;細明體" w:cs="Garamond" w:ascii="Garamond" w:hAnsi="Garamond"/>
          <w:sz w:val="24"/>
          <w:szCs w:val="24"/>
        </w:rPr>
        <w:t>, 1978, р. х</w:t>
      </w:r>
      <w:r>
        <w:rPr>
          <w:rFonts w:eastAsia="MingLiU;細明體" w:cs="Garamond" w:ascii="Garamond" w:hAnsi="Garamond"/>
          <w:sz w:val="24"/>
          <w:szCs w:val="24"/>
          <w:lang w:val="en-US"/>
        </w:rPr>
        <w:t>iii</w:t>
      </w:r>
      <w:r>
        <w:rPr>
          <w:rFonts w:eastAsia="MingLiU;細明體" w:cs="Garamond" w:ascii="Garamond" w:hAnsi="Garamond"/>
          <w:sz w:val="24"/>
          <w:szCs w:val="24"/>
        </w:rPr>
        <w:t>–</w:t>
      </w:r>
      <w:r>
        <w:rPr>
          <w:rFonts w:eastAsia="MingLiU;細明體" w:cs="Garamond" w:ascii="Garamond" w:hAnsi="Garamond"/>
          <w:sz w:val="24"/>
          <w:szCs w:val="24"/>
          <w:lang w:val="en-US"/>
        </w:rPr>
        <w:t>xiv</w:t>
      </w:r>
      <w:r>
        <w:rPr>
          <w:rFonts w:eastAsia="MingLiU;細明體" w:cs="Garamond" w:ascii="Garamond" w:hAnsi="Garamond"/>
          <w:sz w:val="24"/>
          <w:szCs w:val="24"/>
        </w:rPr>
        <w:t>].</w:t>
      </w:r>
    </w:p>
    <w:p>
      <w:pPr>
        <w:pStyle w:val="Normal"/>
        <w:ind w:end="-31" w:firstLine="720"/>
        <w:jc w:val="both"/>
        <w:rPr/>
      </w:pPr>
      <w:r>
        <w:rPr>
          <w:rFonts w:eastAsia="MingLiU;細明體" w:cs="Garamond" w:ascii="Garamond" w:hAnsi="Garamond"/>
          <w:sz w:val="24"/>
          <w:szCs w:val="24"/>
        </w:rPr>
        <w:t>По археологическим данным есть основания полагать, что поселение существовало на территории под Аньяном до времени появления первых гадательных костей с надписями (периода правления У Дина), и что к этому раннему периоду относится городище к северу от реки Хуаньхэ. Но для полностью обоснованных выводов нужны более надежные свидетельства, чем существующие на настоящий момент.</w:t>
      </w:r>
    </w:p>
    <w:p>
      <w:pPr>
        <w:pStyle w:val="Normal"/>
        <w:ind w:end="-31" w:firstLine="720"/>
        <w:jc w:val="both"/>
        <w:rPr/>
      </w:pPr>
      <w:r>
        <w:rPr>
          <w:rFonts w:eastAsia="MingLiU;細明體" w:cs="Garamond" w:ascii="Garamond" w:hAnsi="Garamond"/>
          <w:sz w:val="24"/>
          <w:szCs w:val="24"/>
        </w:rPr>
        <w:t xml:space="preserve">Таким образом, существует достаточно разработанная относительная хронология данного периода для комплекса под Аньяном, связанная, во-первых, с археологической периодизацией, во-вторых, с эпиграфикой данного периода, и, в-третьих, с данными письменной традиции о порядке наследования престола в период Шан-Инь. Естественным образом у исследователей возникает желание привязать эти комплексы надписей к абсолютной шкале. </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r>
    </w:p>
    <w:p>
      <w:pPr>
        <w:pStyle w:val="Normal"/>
        <w:ind w:end="-31" w:firstLine="720"/>
        <w:jc w:val="both"/>
        <w:rPr>
          <w:rFonts w:ascii="Garamond" w:hAnsi="Garamond" w:eastAsia="MingLiU;細明體" w:cs="Garamond"/>
          <w:b/>
          <w:b/>
          <w:smallCaps/>
          <w:position w:val="6"/>
          <w:sz w:val="24"/>
          <w:szCs w:val="24"/>
        </w:rPr>
      </w:pPr>
      <w:r>
        <w:rPr>
          <w:rFonts w:eastAsia="MingLiU;細明體" w:cs="Garamond" w:ascii="Garamond" w:hAnsi="Garamond"/>
          <w:b/>
          <w:smallCaps/>
          <w:position w:val="6"/>
          <w:sz w:val="24"/>
          <w:szCs w:val="24"/>
        </w:rPr>
        <w:t>Проект «Хронология 3 династий: Ся, Шан и Чжоу»</w:t>
      </w:r>
    </w:p>
    <w:p>
      <w:pPr>
        <w:pStyle w:val="Normal"/>
        <w:ind w:end="-31" w:firstLine="720"/>
        <w:jc w:val="both"/>
        <w:rPr>
          <w:rFonts w:ascii="Garamond" w:hAnsi="Garamond" w:eastAsia="MingLiU;細明體" w:cs="Garamond"/>
          <w:b/>
          <w:b/>
          <w:smallCaps/>
          <w:position w:val="6"/>
          <w:sz w:val="8"/>
          <w:szCs w:val="8"/>
        </w:rPr>
      </w:pPr>
      <w:r>
        <w:rPr>
          <w:rFonts w:eastAsia="MingLiU;細明體" w:cs="Garamond" w:ascii="Garamond" w:hAnsi="Garamond"/>
          <w:b/>
          <w:smallCaps/>
          <w:position w:val="6"/>
          <w:sz w:val="8"/>
          <w:szCs w:val="8"/>
        </w:rPr>
      </w:r>
    </w:p>
    <w:p>
      <w:pPr>
        <w:pStyle w:val="Normal"/>
        <w:ind w:end="-31" w:firstLine="720"/>
        <w:jc w:val="both"/>
        <w:rPr/>
      </w:pPr>
      <w:r>
        <w:rPr>
          <w:rFonts w:eastAsia="MingLiU;細明體" w:cs="Garamond" w:ascii="Garamond" w:hAnsi="Garamond"/>
          <w:sz w:val="24"/>
          <w:szCs w:val="24"/>
        </w:rPr>
        <w:t xml:space="preserve">Наиболее масштабный проект, направленный на установление датировок древней истории Китая был инициирован </w:t>
      </w:r>
      <w:r>
        <w:rPr>
          <w:rFonts w:eastAsia="MingLiU;細明體" w:cs="Garamond" w:ascii="Garamond" w:hAnsi="Garamond"/>
          <w:bCs/>
          <w:kern w:val="2"/>
          <w:sz w:val="24"/>
          <w:szCs w:val="24"/>
        </w:rPr>
        <w:t xml:space="preserve">в </w:t>
      </w:r>
      <w:r>
        <w:rPr>
          <w:rFonts w:eastAsia="MingLiU;細明體" w:cs="Garamond" w:ascii="Garamond" w:hAnsi="Garamond"/>
          <w:sz w:val="24"/>
          <w:szCs w:val="24"/>
        </w:rPr>
        <w:t>1996 г. Комплекс исследований под названием «Хронология 3 династий: Ся, Шан и Чжоу» (</w:t>
      </w:r>
      <w:r>
        <w:rPr>
          <w:rFonts w:ascii="Garamond" w:hAnsi="Garamond" w:eastAsia="MingLiU;細明體"/>
          <w:bCs/>
          <w:kern w:val="2"/>
          <w:sz w:val="24"/>
          <w:szCs w:val="24"/>
        </w:rPr>
        <w:t>夏商周断代工程</w:t>
      </w:r>
      <w:r>
        <w:rPr>
          <w:rFonts w:eastAsia="MingLiU;細明體" w:cs="Garamond" w:ascii="Garamond" w:hAnsi="Garamond"/>
          <w:bCs/>
          <w:kern w:val="2"/>
          <w:sz w:val="24"/>
          <w:szCs w:val="24"/>
        </w:rPr>
        <w:t>)</w:t>
      </w:r>
      <w:r>
        <w:rPr>
          <w:rFonts w:eastAsia="MingLiU;細明體" w:cs="Garamond" w:ascii="Garamond" w:hAnsi="Garamond"/>
          <w:sz w:val="24"/>
          <w:szCs w:val="24"/>
        </w:rPr>
        <w:t xml:space="preserve"> был предложен влиятельным политиком КНР Сун Цзяном (</w:t>
      </w:r>
      <w:r>
        <w:rPr>
          <w:rFonts w:ascii="Garamond" w:hAnsi="Garamond" w:eastAsia="MingLiU;細明體"/>
          <w:bCs/>
          <w:sz w:val="24"/>
          <w:szCs w:val="24"/>
        </w:rPr>
        <w:t>宋健</w:t>
      </w:r>
      <w:r>
        <w:rPr>
          <w:rFonts w:eastAsia="MingLiU;細明體" w:cs="Garamond" w:ascii="Garamond" w:hAnsi="Garamond"/>
          <w:bCs/>
          <w:sz w:val="24"/>
          <w:szCs w:val="24"/>
        </w:rPr>
        <w:t xml:space="preserve">; 1931 г. р.) </w:t>
      </w:r>
      <w:r>
        <w:rPr>
          <w:rFonts w:eastAsia="MingLiU;細明體" w:cs="Garamond" w:ascii="Garamond" w:hAnsi="Garamond"/>
          <w:bCs/>
          <w:kern w:val="2"/>
          <w:sz w:val="24"/>
          <w:szCs w:val="24"/>
        </w:rPr>
        <w:t>и</w:t>
      </w:r>
      <w:r>
        <w:rPr>
          <w:rFonts w:eastAsia="MingLiU;細明體" w:cs="Garamond" w:ascii="Garamond" w:hAnsi="Garamond"/>
          <w:sz w:val="24"/>
          <w:szCs w:val="24"/>
        </w:rPr>
        <w:t xml:space="preserve"> входил в план Девятой пятилетки [Сун Цзян</w:t>
      </w:r>
      <w:r>
        <w:rPr>
          <w:rStyle w:val="Acopre"/>
          <w:rFonts w:eastAsia="MingLiU;細明體" w:cs="Garamond" w:ascii="Garamond" w:hAnsi="Garamond"/>
          <w:bCs/>
          <w:kern w:val="2"/>
          <w:sz w:val="24"/>
          <w:szCs w:val="24"/>
        </w:rPr>
        <w:t xml:space="preserve">, 1999, </w:t>
      </w:r>
      <w:r>
        <w:rPr>
          <w:rStyle w:val="Acopre"/>
          <w:rFonts w:eastAsia="MingLiU;細明體" w:cs="Garamond" w:ascii="Garamond" w:hAnsi="Garamond"/>
          <w:bCs/>
          <w:kern w:val="2"/>
          <w:sz w:val="24"/>
          <w:szCs w:val="24"/>
          <w:lang w:val="en-US"/>
        </w:rPr>
        <w:t>c</w:t>
      </w:r>
      <w:r>
        <w:rPr>
          <w:rStyle w:val="Acopre"/>
          <w:rFonts w:eastAsia="MingLiU;細明體" w:cs="Garamond" w:ascii="Garamond" w:hAnsi="Garamond"/>
          <w:bCs/>
          <w:kern w:val="2"/>
          <w:sz w:val="24"/>
          <w:szCs w:val="24"/>
        </w:rPr>
        <w:t>. 21–22]</w:t>
      </w:r>
      <w:r>
        <w:rPr>
          <w:rFonts w:eastAsia="MingLiU;細明體" w:cs="Garamond" w:ascii="Garamond" w:hAnsi="Garamond"/>
          <w:sz w:val="24"/>
          <w:szCs w:val="24"/>
        </w:rPr>
        <w:t xml:space="preserve">. Целью проекта ставилось окончательное установление дат важнейших политических событий истории Китая II–I тыс. до н. э; в составе проекта принимали участие более 200 специалистов Академии Естественных наук КНР, Академии Общественных наук КНР и других учреждений науки и культуры КНР. </w:t>
      </w:r>
    </w:p>
    <w:p>
      <w:pPr>
        <w:pStyle w:val="Normal"/>
        <w:ind w:end="-31" w:firstLine="720"/>
        <w:jc w:val="both"/>
        <w:rPr/>
      </w:pPr>
      <w:r>
        <w:rPr>
          <w:rFonts w:eastAsia="MingLiU;細明體" w:cs="Garamond" w:ascii="Garamond" w:hAnsi="Garamond"/>
          <w:sz w:val="24"/>
          <w:szCs w:val="24"/>
        </w:rPr>
        <w:t xml:space="preserve">Эта масштабная задача была, по утверждению руководителей проекта, осуществлена к 2000 г.; в том же году был издан краткий отчет с результатами работы [Коллектив проекта «Хронология Трех династий, 2000]. </w:t>
      </w:r>
    </w:p>
    <w:p>
      <w:pPr>
        <w:pStyle w:val="Normal"/>
        <w:ind w:end="-31" w:firstLine="720"/>
        <w:jc w:val="both"/>
        <w:rPr/>
      </w:pPr>
      <w:r>
        <w:rPr>
          <w:rFonts w:eastAsia="MingLiU;細明體" w:cs="Garamond" w:ascii="Garamond" w:hAnsi="Garamond"/>
          <w:sz w:val="24"/>
          <w:szCs w:val="24"/>
        </w:rPr>
        <w:t>Несмотря на спорность многих положений отчета, активную критику научной общественности [</w:t>
      </w:r>
      <w:r>
        <w:rPr>
          <w:rFonts w:eastAsia="MingLiU;細明體" w:cs="Garamond" w:ascii="Garamond" w:hAnsi="Garamond"/>
          <w:sz w:val="24"/>
          <w:szCs w:val="24"/>
          <w:lang w:val="fr-FR"/>
        </w:rPr>
        <w:t>Li</w:t>
      </w:r>
      <w:r>
        <w:rPr>
          <w:rFonts w:eastAsia="MingLiU;細明體" w:cs="Garamond" w:ascii="Garamond" w:hAnsi="Garamond"/>
          <w:sz w:val="24"/>
          <w:szCs w:val="24"/>
        </w:rPr>
        <w:t xml:space="preserve"> </w:t>
      </w:r>
      <w:r>
        <w:rPr>
          <w:rFonts w:eastAsia="MingLiU;細明體" w:cs="Garamond" w:ascii="Garamond" w:hAnsi="Garamond"/>
          <w:sz w:val="24"/>
          <w:szCs w:val="24"/>
          <w:lang w:val="fr-FR"/>
        </w:rPr>
        <w:t>Liu</w:t>
      </w:r>
      <w:r>
        <w:rPr>
          <w:rFonts w:eastAsia="MingLiU;細明體" w:cs="Garamond" w:ascii="Garamond" w:hAnsi="Garamond"/>
          <w:sz w:val="24"/>
          <w:szCs w:val="24"/>
        </w:rPr>
        <w:t xml:space="preserve">, </w:t>
      </w:r>
      <w:r>
        <w:rPr>
          <w:rFonts w:eastAsia="MingLiU;細明體" w:cs="Garamond" w:ascii="Garamond" w:hAnsi="Garamond"/>
          <w:sz w:val="24"/>
          <w:szCs w:val="24"/>
          <w:lang w:val="fr-FR"/>
        </w:rPr>
        <w:t>Hong</w:t>
      </w:r>
      <w:r>
        <w:rPr>
          <w:rFonts w:eastAsia="MingLiU;細明體" w:cs="Garamond" w:ascii="Garamond" w:hAnsi="Garamond"/>
          <w:sz w:val="24"/>
          <w:szCs w:val="24"/>
        </w:rPr>
        <w:t xml:space="preserve"> </w:t>
      </w:r>
      <w:r>
        <w:rPr>
          <w:rFonts w:eastAsia="MingLiU;細明體" w:cs="Garamond" w:ascii="Garamond" w:hAnsi="Garamond"/>
          <w:sz w:val="24"/>
          <w:szCs w:val="24"/>
          <w:lang w:val="fr-FR"/>
        </w:rPr>
        <w:t>Xu</w:t>
      </w:r>
      <w:r>
        <w:rPr>
          <w:rFonts w:eastAsia="MingLiU;細明體" w:cs="Garamond" w:ascii="Garamond" w:hAnsi="Garamond"/>
          <w:sz w:val="24"/>
          <w:szCs w:val="24"/>
        </w:rPr>
        <w:t xml:space="preserve">, 2007, </w:t>
      </w:r>
      <w:r>
        <w:rPr>
          <w:rFonts w:eastAsia="MingLiU;細明體" w:cs="Garamond" w:ascii="Garamond" w:hAnsi="Garamond"/>
          <w:sz w:val="24"/>
          <w:szCs w:val="24"/>
          <w:lang w:val="fr-FR"/>
        </w:rPr>
        <w:t>p</w:t>
      </w:r>
      <w:r>
        <w:rPr>
          <w:rFonts w:eastAsia="MingLiU;細明體" w:cs="Garamond" w:ascii="Garamond" w:hAnsi="Garamond"/>
          <w:sz w:val="24"/>
          <w:szCs w:val="24"/>
        </w:rPr>
        <w:t xml:space="preserve">. 899–900] и очевидную политизированность проекта, в настоящий момент датировки, основанные на данных проекта «Хронология 3 династий: Ся, Шан и Чжоу» имеет широчайшее распространение, особенно в КНР. </w:t>
      </w:r>
    </w:p>
    <w:p>
      <w:pPr>
        <w:pStyle w:val="Normal"/>
        <w:ind w:end="-31" w:firstLine="720"/>
        <w:jc w:val="both"/>
        <w:rPr/>
      </w:pPr>
      <w:r>
        <w:rPr>
          <w:rFonts w:eastAsia="MingLiU;細明體" w:cs="Garamond" w:ascii="Garamond" w:hAnsi="Garamond"/>
          <w:sz w:val="24"/>
          <w:szCs w:val="24"/>
        </w:rPr>
        <w:t xml:space="preserve">Представляется, что, несмотря на серьезные недостатки в методологии проекта и в связи с этим ненадежные итоговые датировки для </w:t>
      </w:r>
      <w:r>
        <w:rPr>
          <w:rFonts w:eastAsia="MingLiU;細明體" w:cs="Garamond" w:ascii="Garamond" w:hAnsi="Garamond"/>
          <w:sz w:val="24"/>
          <w:szCs w:val="24"/>
          <w:lang w:val="en-US"/>
        </w:rPr>
        <w:t>II</w:t>
      </w:r>
      <w:r>
        <w:rPr>
          <w:rFonts w:eastAsia="MingLiU;細明體" w:cs="Garamond" w:ascii="Garamond" w:hAnsi="Garamond"/>
          <w:sz w:val="24"/>
          <w:szCs w:val="24"/>
        </w:rPr>
        <w:t> тыс. до н. э., проект «Хронологии 3 династий» дал возможность широкого спектра исследований древнейшей истории Китая. Множество замечательных работ были опубликованы в рамках данного проекта и по эпиграфике, и по археологии данного периода. И самое главное, попытки построить хронологию будут предприниматься снова и снова, поскольку из-за разрыва между существующими небольшими, но очень подробными относительными микро-хронологиями из эпиграфики и отсутствием их основательной привязки к абсолютным датам неизбежно будет возникать отчетливый диссонанс.</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r>
    </w:p>
    <w:p>
      <w:pPr>
        <w:pStyle w:val="Normal"/>
        <w:ind w:end="-31" w:firstLine="720"/>
        <w:jc w:val="both"/>
        <w:rPr>
          <w:rFonts w:ascii="Garamond" w:hAnsi="Garamond" w:eastAsia="MingLiU;細明體" w:cs="Garamond"/>
          <w:b/>
          <w:b/>
          <w:smallCaps/>
          <w:sz w:val="24"/>
          <w:szCs w:val="24"/>
        </w:rPr>
      </w:pPr>
      <w:r>
        <w:rPr>
          <w:rFonts w:eastAsia="MingLiU;細明體" w:cs="Garamond" w:ascii="Garamond" w:hAnsi="Garamond"/>
          <w:b/>
          <w:smallCaps/>
          <w:sz w:val="24"/>
          <w:szCs w:val="24"/>
        </w:rPr>
        <w:t>Заключение</w:t>
      </w:r>
    </w:p>
    <w:p>
      <w:pPr>
        <w:pStyle w:val="Normal"/>
        <w:ind w:end="-31" w:firstLine="720"/>
        <w:jc w:val="both"/>
        <w:rPr>
          <w:rFonts w:ascii="Garamond" w:hAnsi="Garamond" w:eastAsia="MingLiU;細明體" w:cs="Garamond"/>
          <w:b/>
          <w:b/>
          <w:smallCaps/>
          <w:sz w:val="8"/>
          <w:szCs w:val="8"/>
        </w:rPr>
      </w:pPr>
      <w:r>
        <w:rPr>
          <w:rFonts w:eastAsia="MingLiU;細明體" w:cs="Garamond" w:ascii="Garamond" w:hAnsi="Garamond"/>
          <w:b/>
          <w:smallCaps/>
          <w:sz w:val="8"/>
          <w:szCs w:val="8"/>
        </w:rPr>
      </w:r>
    </w:p>
    <w:p>
      <w:pPr>
        <w:pStyle w:val="Normal"/>
        <w:ind w:end="-31" w:firstLine="720"/>
        <w:jc w:val="both"/>
        <w:rPr/>
      </w:pPr>
      <w:r>
        <w:rPr>
          <w:rFonts w:eastAsia="MingLiU;細明體" w:cs="Garamond" w:ascii="Garamond" w:hAnsi="Garamond"/>
          <w:sz w:val="24"/>
          <w:szCs w:val="24"/>
        </w:rPr>
        <w:t>Династия Шан-Инь на протяжении столетий была известна только по отрывочным сведениям, когда в конце XIX в. были идентифицированы и дешифрованы письменные свидетельства этого периода надписи на гадательных костях (</w:t>
      </w:r>
      <w:r>
        <w:rPr>
          <w:rFonts w:ascii="Garamond" w:hAnsi="Garamond" w:eastAsia="MingLiU;細明體"/>
          <w:sz w:val="24"/>
          <w:szCs w:val="24"/>
          <w:lang w:val="en-US"/>
        </w:rPr>
        <w:t>甲骨文</w:t>
      </w:r>
      <w:r>
        <w:rPr>
          <w:rFonts w:eastAsia="MingLiU;細明體" w:cs="Garamond" w:ascii="Garamond" w:hAnsi="Garamond"/>
          <w:sz w:val="24"/>
          <w:szCs w:val="24"/>
        </w:rPr>
        <w:t xml:space="preserve">). Благодаря раскопкам археологического комплекса под Аньяном, откуда и вели свое происхождение надписи на гадательных костях, были открыты крупный культовый комплекс, поселения и кладбища бронзового века. На основании археологических находок была разработана археологическая периодизация, которую смогли связать с относительной периодизацией надписей на гадательных костях; в свою очередь данные НГК вполне можно сопоставить с данными письменной традиции о порядке наследования престола в период Шан-Инь. Таким образом, это уникальный для Восточной Азии </w:t>
      </w:r>
      <w:r>
        <w:rPr>
          <w:rFonts w:eastAsia="MingLiU;細明體" w:cs="Garamond" w:ascii="Garamond" w:hAnsi="Garamond"/>
          <w:sz w:val="24"/>
          <w:szCs w:val="24"/>
          <w:lang w:val="en-US"/>
        </w:rPr>
        <w:t>II</w:t>
      </w:r>
      <w:r>
        <w:rPr>
          <w:rFonts w:eastAsia="MingLiU;細明體" w:cs="Garamond" w:ascii="Garamond" w:hAnsi="Garamond"/>
          <w:sz w:val="24"/>
          <w:szCs w:val="24"/>
        </w:rPr>
        <w:t> тыс. до н. э. пример взаимопересечения трех видов источников — археологических, эпиграфических и позднейшей письменной традиции.</w:t>
      </w:r>
    </w:p>
    <w:p>
      <w:pPr>
        <w:pStyle w:val="Normal"/>
        <w:ind w:end="-31" w:firstLine="720"/>
        <w:jc w:val="both"/>
        <w:rPr/>
      </w:pPr>
      <w:r>
        <w:rPr>
          <w:rFonts w:eastAsia="MingLiU;細明體" w:cs="Garamond" w:ascii="Garamond" w:hAnsi="Garamond"/>
          <w:sz w:val="24"/>
          <w:szCs w:val="24"/>
        </w:rPr>
        <w:t>Наиболее масштабная попытка связать относительную хронологию этого периода с абсолютными датами была предпринята в конце XX в. в рамках проекта «Хронология 3 династий: Ся, Шан и Чжоу» (</w:t>
      </w:r>
      <w:r>
        <w:rPr>
          <w:rFonts w:ascii="Garamond" w:hAnsi="Garamond" w:eastAsia="MingLiU;細明體"/>
          <w:bCs/>
          <w:kern w:val="2"/>
          <w:sz w:val="24"/>
          <w:szCs w:val="24"/>
        </w:rPr>
        <w:t>夏商周断代工程</w:t>
      </w:r>
      <w:r>
        <w:rPr>
          <w:rFonts w:eastAsia="MingLiU;細明體" w:cs="Garamond" w:ascii="Garamond" w:hAnsi="Garamond"/>
          <w:bCs/>
          <w:kern w:val="2"/>
          <w:sz w:val="24"/>
          <w:szCs w:val="24"/>
        </w:rPr>
        <w:t>). Несмотря на неоднозначность результатов, проект привлек внимание к проблематике древней истории и способствовал исследованиям и расширению публикационной активности по вопросам истории древней Восточной Азии.</w:t>
      </w:r>
    </w:p>
    <w:p>
      <w:pPr>
        <w:pStyle w:val="Normal"/>
        <w:ind w:end="-31" w:firstLine="720"/>
        <w:jc w:val="both"/>
        <w:rPr>
          <w:rFonts w:ascii="Garamond" w:hAnsi="Garamond" w:eastAsia="MingLiU;細明體" w:cs="Garamond"/>
          <w:bCs/>
          <w:kern w:val="2"/>
          <w:sz w:val="24"/>
          <w:szCs w:val="24"/>
        </w:rPr>
      </w:pPr>
      <w:r>
        <w:rPr>
          <w:rFonts w:eastAsia="MingLiU;細明體" w:cs="Garamond" w:ascii="Garamond" w:hAnsi="Garamond"/>
          <w:bCs/>
          <w:kern w:val="2"/>
          <w:sz w:val="24"/>
          <w:szCs w:val="24"/>
        </w:rPr>
      </w:r>
    </w:p>
    <w:p>
      <w:pPr>
        <w:pStyle w:val="Normal"/>
        <w:ind w:end="-31" w:firstLine="720"/>
        <w:jc w:val="both"/>
        <w:rPr>
          <w:rFonts w:ascii="Garamond" w:hAnsi="Garamond" w:eastAsia="MingLiU;細明體" w:cs="Garamond"/>
          <w:bCs/>
          <w:kern w:val="2"/>
          <w:sz w:val="24"/>
          <w:szCs w:val="24"/>
        </w:rPr>
      </w:pPr>
      <w:r>
        <w:rPr>
          <w:rFonts w:eastAsia="MingLiU;細明體" w:cs="Garamond" w:ascii="Garamond" w:hAnsi="Garamond"/>
          <w:bCs/>
          <w:kern w:val="2"/>
          <w:sz w:val="24"/>
          <w:szCs w:val="24"/>
        </w:rPr>
      </w:r>
    </w:p>
    <w:p>
      <w:pPr>
        <w:pStyle w:val="Normal"/>
        <w:ind w:end="-31" w:firstLine="720"/>
        <w:jc w:val="both"/>
        <w:rPr>
          <w:rFonts w:ascii="Garamond" w:hAnsi="Garamond" w:eastAsia="MingLiU;細明體" w:cs="Garamond"/>
          <w:bCs/>
          <w:kern w:val="2"/>
          <w:sz w:val="24"/>
          <w:szCs w:val="24"/>
        </w:rPr>
      </w:pPr>
      <w:r>
        <w:rPr>
          <w:rFonts w:eastAsia="MingLiU;細明體" w:cs="Garamond" w:ascii="Garamond" w:hAnsi="Garamond"/>
          <w:bCs/>
          <w:kern w:val="2"/>
          <w:sz w:val="24"/>
          <w:szCs w:val="24"/>
        </w:rPr>
      </w:r>
    </w:p>
    <w:p>
      <w:pPr>
        <w:pStyle w:val="NoSpacing"/>
        <w:tabs>
          <w:tab w:val="clear" w:pos="709"/>
          <w:tab w:val="left" w:pos="720" w:leader="none"/>
        </w:tabs>
        <w:ind w:start="720" w:end="-31" w:hanging="720"/>
        <w:jc w:val="center"/>
        <w:rPr>
          <w:rStyle w:val="Style18"/>
          <w:rFonts w:ascii="Garamond" w:hAnsi="Garamond" w:eastAsia="MingLiU;細明體" w:cs="Garamond"/>
          <w:i w:val="false"/>
          <w:i w:val="false"/>
          <w:iCs w:val="false"/>
          <w:sz w:val="24"/>
          <w:szCs w:val="24"/>
        </w:rPr>
      </w:pPr>
      <w:r>
        <w:rPr>
          <w:rStyle w:val="Style18"/>
          <w:rFonts w:eastAsia="MingLiU;細明體" w:cs="Garamond" w:ascii="Garamond" w:hAnsi="Garamond"/>
          <w:i w:val="false"/>
          <w:iCs w:val="false"/>
          <w:sz w:val="24"/>
          <w:szCs w:val="24"/>
        </w:rPr>
        <w:t xml:space="preserve">Литература / </w:t>
      </w:r>
      <w:r>
        <w:rPr>
          <w:rStyle w:val="Style18"/>
          <w:rFonts w:eastAsia="MingLiU;細明體" w:cs="Garamond" w:ascii="Garamond" w:hAnsi="Garamond"/>
          <w:i w:val="false"/>
          <w:iCs w:val="false"/>
          <w:sz w:val="24"/>
          <w:szCs w:val="24"/>
          <w:lang w:val="en-US"/>
        </w:rPr>
        <w:t>References</w:t>
      </w:r>
    </w:p>
    <w:p>
      <w:pPr>
        <w:pStyle w:val="NoSpacing"/>
        <w:tabs>
          <w:tab w:val="clear" w:pos="709"/>
          <w:tab w:val="left" w:pos="720" w:leader="none"/>
        </w:tabs>
        <w:ind w:start="720" w:end="-31" w:hanging="720"/>
        <w:jc w:val="both"/>
        <w:rPr>
          <w:rStyle w:val="Style18"/>
          <w:rFonts w:ascii="Garamond" w:hAnsi="Garamond" w:eastAsia="MingLiU;細明體" w:cs="Garamond"/>
          <w:i w:val="false"/>
          <w:i w:val="false"/>
          <w:iCs w:val="false"/>
          <w:sz w:val="8"/>
          <w:szCs w:val="8"/>
        </w:rPr>
      </w:pPr>
      <w:r>
        <w:rPr/>
      </w:r>
    </w:p>
    <w:p>
      <w:pPr>
        <w:pStyle w:val="NoSpacing"/>
        <w:tabs>
          <w:tab w:val="clear" w:pos="709"/>
          <w:tab w:val="left" w:pos="720" w:leader="none"/>
        </w:tabs>
        <w:ind w:start="720" w:end="-31" w:hanging="720"/>
        <w:jc w:val="both"/>
        <w:rPr>
          <w:rFonts w:ascii="Garamond" w:hAnsi="Garamond" w:eastAsia="MingLiU;細明體" w:cs="Garamond"/>
        </w:rPr>
      </w:pPr>
      <w:r>
        <w:rPr>
          <w:rFonts w:eastAsia="MingLiU;細明體" w:cs="Garamond" w:ascii="Garamond" w:hAnsi="Garamond"/>
        </w:rPr>
        <w:t xml:space="preserve">Ван Юйчжи. </w:t>
      </w:r>
      <w:r>
        <w:rPr>
          <w:rFonts w:eastAsia="MingLiU;細明體" w:cs="Garamond" w:ascii="Garamond" w:hAnsi="Garamond"/>
          <w:i/>
        </w:rPr>
        <w:t>Исследования надписей на гадательных костях периода Шан-Инь</w:t>
      </w:r>
      <w:r>
        <w:rPr>
          <w:rFonts w:eastAsia="MingLiU;細明體" w:cs="Garamond" w:ascii="Garamond" w:hAnsi="Garamond"/>
        </w:rPr>
        <w:t>. Пекин</w:t>
      </w:r>
      <w:r>
        <w:rPr>
          <w:rFonts w:eastAsia="MingLiU;細明體" w:cs="Garamond" w:ascii="Garamond" w:hAnsi="Garamond"/>
          <w:lang w:val="en-US"/>
        </w:rPr>
        <w:t>, 2010 [</w:t>
      </w:r>
      <w:r>
        <w:rPr>
          <w:rFonts w:ascii="Garamond" w:hAnsi="Garamond" w:cs="Times New Roman" w:eastAsia="MingLiU;細明體"/>
        </w:rPr>
        <w:t>王蘊智</w:t>
      </w:r>
      <w:r>
        <w:rPr>
          <w:rFonts w:ascii="Garamond" w:hAnsi="Garamond" w:cs="Garamond" w:eastAsia="Garamond"/>
          <w:lang w:val="en-US"/>
        </w:rPr>
        <w:t xml:space="preserve"> </w:t>
      </w:r>
      <w:r>
        <w:rPr>
          <w:rFonts w:eastAsia="MingLiU;細明體" w:cs="Garamond" w:ascii="Garamond" w:hAnsi="Garamond"/>
          <w:lang w:val="en-US"/>
        </w:rPr>
        <w:t xml:space="preserve">(Wang Yuzhi). </w:t>
      </w:r>
      <w:r>
        <w:rPr>
          <w:rFonts w:ascii="Garamond" w:hAnsi="Garamond" w:cs="Times New Roman" w:eastAsia="MingLiU;細明體"/>
          <w:iCs/>
        </w:rPr>
        <w:t>殷商甲骨文研</w:t>
      </w:r>
      <w:r>
        <w:rPr>
          <w:rFonts w:eastAsia="MingLiU;細明體" w:cs="Garamond" w:ascii="Garamond" w:hAnsi="Garamond"/>
          <w:lang w:val="en-US"/>
        </w:rPr>
        <w:t xml:space="preserve">. </w:t>
      </w:r>
      <w:r>
        <w:rPr>
          <w:rFonts w:eastAsia="MingLiU;細明體" w:cs="Garamond" w:ascii="Garamond" w:hAnsi="Garamond"/>
          <w:i/>
          <w:lang w:val="en-US"/>
        </w:rPr>
        <w:t>Studies of Yin-Shang Oracle Bone Script.</w:t>
      </w:r>
      <w:r>
        <w:rPr>
          <w:rFonts w:eastAsia="MingLiU;細明體" w:cs="Garamond" w:ascii="Garamond" w:hAnsi="Garamond"/>
          <w:lang w:val="en-US"/>
        </w:rPr>
        <w:t xml:space="preserve"> Beijing</w:t>
      </w:r>
      <w:r>
        <w:rPr>
          <w:rFonts w:eastAsia="MingLiU;細明體" w:cs="Garamond" w:ascii="Garamond" w:hAnsi="Garamond"/>
        </w:rPr>
        <w:t>, 2010 (</w:t>
      </w:r>
      <w:r>
        <w:rPr>
          <w:rFonts w:eastAsia="MingLiU;細明體" w:cs="Garamond" w:ascii="Garamond" w:hAnsi="Garamond"/>
          <w:lang w:val="en-US"/>
        </w:rPr>
        <w:t>in</w:t>
      </w:r>
      <w:r>
        <w:rPr>
          <w:rFonts w:eastAsia="MingLiU;細明體" w:cs="Garamond" w:ascii="Garamond" w:hAnsi="Garamond"/>
        </w:rPr>
        <w:t xml:space="preserve"> </w:t>
      </w:r>
      <w:r>
        <w:rPr>
          <w:rFonts w:eastAsia="MingLiU;細明體" w:cs="Garamond" w:ascii="Garamond" w:hAnsi="Garamond"/>
          <w:lang w:val="en-US"/>
        </w:rPr>
        <w:t>Chinese</w:t>
      </w:r>
      <w:r>
        <w:rPr>
          <w:rFonts w:eastAsia="MingLiU;細明體" w:cs="Garamond" w:ascii="Garamond" w:hAnsi="Garamond"/>
        </w:rPr>
        <w:t>)</w:t>
      </w:r>
      <w:r>
        <w:rPr>
          <w:rStyle w:val="Acopre"/>
          <w:rFonts w:eastAsia="MingLiU;細明體" w:cs="Garamond" w:ascii="Garamond" w:hAnsi="Garamond"/>
        </w:rPr>
        <w:t>].</w:t>
      </w:r>
    </w:p>
    <w:p>
      <w:pPr>
        <w:pStyle w:val="NoSpacing"/>
        <w:tabs>
          <w:tab w:val="clear" w:pos="709"/>
          <w:tab w:val="left" w:pos="720" w:leader="none"/>
        </w:tabs>
        <w:ind w:start="720" w:end="-31" w:hanging="720"/>
        <w:jc w:val="both"/>
        <w:rPr/>
      </w:pPr>
      <w:r>
        <w:rPr>
          <w:rFonts w:eastAsia="MingLiU;細明體" w:cs="Garamond" w:ascii="Garamond" w:hAnsi="Garamond"/>
        </w:rPr>
        <w:t xml:space="preserve">Дун Цзобинь. </w:t>
      </w:r>
      <w:r>
        <w:rPr>
          <w:rFonts w:eastAsia="MingLiU;細明體" w:cs="Garamond" w:ascii="Garamond" w:hAnsi="Garamond"/>
          <w:i/>
        </w:rPr>
        <w:t>Исследование хронологии надписей на гадательных костях.</w:t>
      </w:r>
      <w:r>
        <w:rPr>
          <w:rFonts w:eastAsia="MingLiU;細明體" w:cs="Garamond" w:ascii="Garamond" w:hAnsi="Garamond"/>
        </w:rPr>
        <w:t xml:space="preserve"> Пекин</w:t>
      </w:r>
      <w:r>
        <w:rPr>
          <w:rFonts w:eastAsia="MingLiU;細明體" w:cs="Garamond" w:ascii="Garamond" w:hAnsi="Garamond"/>
          <w:lang w:val="en-US"/>
        </w:rPr>
        <w:t>, 1933 [</w:t>
      </w:r>
      <w:r>
        <w:rPr>
          <w:rFonts w:ascii="Garamond" w:hAnsi="Garamond" w:cs="Times New Roman" w:eastAsia="MingLiU;細明體"/>
        </w:rPr>
        <w:t>董作</w:t>
      </w:r>
      <w:r>
        <w:rPr>
          <w:rFonts w:ascii="Garamond" w:hAnsi="Garamond" w:cs="Times New Roman"/>
        </w:rPr>
        <w:t>宾</w:t>
      </w:r>
      <w:r>
        <w:rPr>
          <w:rFonts w:ascii="Garamond" w:hAnsi="Garamond" w:cs="Garamond" w:eastAsia="Garamond"/>
          <w:lang w:val="en-US"/>
        </w:rPr>
        <w:t xml:space="preserve"> </w:t>
      </w:r>
      <w:r>
        <w:rPr>
          <w:rFonts w:eastAsia="MingLiU;細明體" w:cs="Garamond" w:ascii="Garamond" w:hAnsi="Garamond"/>
          <w:lang w:val="en-US"/>
        </w:rPr>
        <w:t xml:space="preserve">(Dong Zuobin). </w:t>
      </w:r>
      <w:r>
        <w:rPr>
          <w:rFonts w:ascii="Garamond" w:hAnsi="Garamond" w:cs="Times New Roman" w:eastAsia="MingLiU;細明體"/>
          <w:iCs/>
        </w:rPr>
        <w:t>甲骨文断代研究例</w:t>
      </w:r>
      <w:r>
        <w:rPr>
          <w:rFonts w:eastAsia="MingLiU;細明體" w:cs="Garamond" w:ascii="Garamond" w:hAnsi="Garamond"/>
          <w:i/>
          <w:lang w:val="en-US"/>
        </w:rPr>
        <w:t xml:space="preserve">. Research of the Chronology of the Oracle Bones Inscriptions. </w:t>
      </w:r>
      <w:r>
        <w:rPr>
          <w:rFonts w:eastAsia="MingLiU;細明體" w:cs="Garamond" w:ascii="Garamond" w:hAnsi="Garamond"/>
          <w:lang w:val="en-US"/>
        </w:rPr>
        <w:t>Beijing</w:t>
      </w:r>
      <w:r>
        <w:rPr>
          <w:rFonts w:eastAsia="MingLiU;細明體" w:cs="Garamond" w:ascii="Garamond" w:hAnsi="Garamond"/>
        </w:rPr>
        <w:t>, 1933 (</w:t>
      </w:r>
      <w:r>
        <w:rPr>
          <w:rFonts w:eastAsia="MingLiU;細明體" w:cs="Garamond" w:ascii="Garamond" w:hAnsi="Garamond"/>
          <w:lang w:val="en-US"/>
        </w:rPr>
        <w:t>in</w:t>
      </w:r>
      <w:r>
        <w:rPr>
          <w:rFonts w:eastAsia="MingLiU;細明體" w:cs="Garamond" w:ascii="Garamond" w:hAnsi="Garamond"/>
        </w:rPr>
        <w:t xml:space="preserve"> </w:t>
      </w:r>
      <w:r>
        <w:rPr>
          <w:rFonts w:eastAsia="MingLiU;細明體" w:cs="Garamond" w:ascii="Garamond" w:hAnsi="Garamond"/>
          <w:lang w:val="en-US"/>
        </w:rPr>
        <w:t>Chinese</w:t>
      </w:r>
      <w:r>
        <w:rPr>
          <w:rFonts w:eastAsia="MingLiU;細明體" w:cs="Garamond" w:ascii="Garamond" w:hAnsi="Garamond"/>
        </w:rPr>
        <w:t>)].</w:t>
      </w:r>
    </w:p>
    <w:p>
      <w:pPr>
        <w:pStyle w:val="NoSpacing"/>
        <w:tabs>
          <w:tab w:val="clear" w:pos="709"/>
          <w:tab w:val="left" w:pos="720" w:leader="none"/>
        </w:tabs>
        <w:autoSpaceDE w:val="false"/>
        <w:ind w:start="720" w:end="-31" w:hanging="720"/>
        <w:jc w:val="both"/>
        <w:rPr/>
      </w:pPr>
      <w:r>
        <w:rPr>
          <w:rFonts w:eastAsia="MingLiU;細明體" w:cs="Garamond" w:ascii="Garamond" w:hAnsi="Garamond"/>
        </w:rPr>
        <w:t>Институт археологии Академии Общественных наук КНР</w:t>
      </w:r>
      <w:r>
        <w:rPr>
          <w:rFonts w:eastAsia="MingLiU;細明體" w:cs="Garamond" w:ascii="Garamond" w:hAnsi="Garamond"/>
          <w:i/>
        </w:rPr>
        <w:t>. Гадательные кости, найденные к востоку от дер. Хуаюаньчжуан</w:t>
      </w:r>
      <w:r>
        <w:rPr>
          <w:rFonts w:eastAsia="MingLiU;細明體" w:cs="Garamond" w:ascii="Garamond" w:hAnsi="Garamond"/>
          <w:i/>
          <w:lang w:val="en-US"/>
        </w:rPr>
        <w:t>.</w:t>
      </w:r>
      <w:r>
        <w:rPr>
          <w:rFonts w:eastAsia="MingLiU;細明體" w:cs="Garamond" w:ascii="Garamond" w:hAnsi="Garamond"/>
          <w:lang w:val="en-US"/>
        </w:rPr>
        <w:t xml:space="preserve"> </w:t>
      </w:r>
      <w:r>
        <w:rPr>
          <w:rFonts w:eastAsia="MingLiU;細明體" w:cs="Garamond" w:ascii="Garamond" w:hAnsi="Garamond"/>
        </w:rPr>
        <w:t>Т</w:t>
      </w:r>
      <w:r>
        <w:rPr>
          <w:rFonts w:eastAsia="MingLiU;細明體" w:cs="Garamond" w:ascii="Garamond" w:hAnsi="Garamond"/>
          <w:lang w:val="en-US"/>
        </w:rPr>
        <w:t xml:space="preserve">. 1. </w:t>
      </w:r>
      <w:r>
        <w:rPr>
          <w:rFonts w:eastAsia="MingLiU;細明體" w:cs="Garamond" w:ascii="Garamond" w:hAnsi="Garamond"/>
        </w:rPr>
        <w:t>Куньмин</w:t>
      </w:r>
      <w:r>
        <w:rPr>
          <w:rFonts w:eastAsia="MingLiU;細明體" w:cs="Garamond" w:ascii="Garamond" w:hAnsi="Garamond"/>
          <w:lang w:val="en-US"/>
        </w:rPr>
        <w:t>, 2003 [</w:t>
      </w:r>
      <w:r>
        <w:rPr>
          <w:rFonts w:ascii="Garamond" w:hAnsi="Garamond" w:cs="Times New Roman" w:eastAsia="MingLiU;細明體"/>
        </w:rPr>
        <w:t>中國社會科學院考古研究所</w:t>
      </w:r>
      <w:r>
        <w:rPr>
          <w:rFonts w:ascii="Garamond" w:hAnsi="Garamond" w:cs="Garamond" w:eastAsia="Garamond"/>
          <w:lang w:val="en-US"/>
        </w:rPr>
        <w:t xml:space="preserve"> </w:t>
      </w:r>
      <w:r>
        <w:rPr>
          <w:rFonts w:eastAsia="MingLiU;細明體" w:cs="Garamond" w:ascii="Garamond" w:hAnsi="Garamond"/>
          <w:lang w:val="en-US"/>
        </w:rPr>
        <w:t xml:space="preserve">(Institute of Archaeology of the Chinese Academy of Social Sciences). </w:t>
      </w:r>
      <w:r>
        <w:rPr>
          <w:rFonts w:ascii="Garamond" w:hAnsi="Garamond" w:cs="Times New Roman" w:eastAsia="MingLiU;細明體"/>
          <w:iCs/>
        </w:rPr>
        <w:t>殷墟花園莊東地甲骨</w:t>
      </w:r>
      <w:r>
        <w:rPr>
          <w:rFonts w:eastAsia="MingLiU;細明體" w:cs="Garamond" w:ascii="Garamond" w:hAnsi="Garamond"/>
          <w:i/>
          <w:lang w:val="en-US"/>
        </w:rPr>
        <w:t>.</w:t>
      </w:r>
      <w:r>
        <w:rPr>
          <w:rFonts w:eastAsia="MingLiU;細明體" w:cs="Garamond" w:ascii="Garamond" w:hAnsi="Garamond"/>
          <w:lang w:val="en-US"/>
        </w:rPr>
        <w:t xml:space="preserve"> </w:t>
      </w:r>
      <w:r>
        <w:rPr>
          <w:rFonts w:eastAsia="MingLiU;細明體" w:cs="Garamond" w:ascii="Garamond" w:hAnsi="Garamond"/>
          <w:i/>
          <w:lang w:val="en-US"/>
        </w:rPr>
        <w:t>Oracle Bones from Huayuanzhuang Locus East, Yinxu</w:t>
      </w:r>
      <w:r>
        <w:rPr>
          <w:rFonts w:eastAsia="MingLiU;細明體" w:cs="Garamond" w:ascii="Garamond" w:hAnsi="Garamond"/>
          <w:lang w:val="en-US"/>
        </w:rPr>
        <w:t xml:space="preserve">. Kunming, 2003 (in Chinese)]. </w:t>
      </w:r>
    </w:p>
    <w:p>
      <w:pPr>
        <w:pStyle w:val="NoSpacing"/>
        <w:tabs>
          <w:tab w:val="clear" w:pos="709"/>
          <w:tab w:val="left" w:pos="720" w:leader="none"/>
        </w:tabs>
        <w:ind w:start="720" w:end="-31" w:hanging="720"/>
        <w:jc w:val="both"/>
        <w:rPr/>
      </w:pPr>
      <w:r>
        <w:rPr>
          <w:rFonts w:eastAsia="MingLiU;細明體" w:cs="Garamond" w:ascii="Garamond" w:hAnsi="Garamond"/>
        </w:rPr>
        <w:t xml:space="preserve">Институт археологии Академии Общественных наук КНР. </w:t>
      </w:r>
      <w:r>
        <w:rPr>
          <w:rFonts w:eastAsia="MingLiU;細明體" w:cs="Garamond" w:ascii="Garamond" w:hAnsi="Garamond"/>
          <w:i/>
        </w:rPr>
        <w:t>Открытие Иньсюя и его археологическое исследование.</w:t>
      </w:r>
      <w:r>
        <w:rPr>
          <w:rFonts w:eastAsia="MingLiU;細明體" w:cs="Garamond" w:ascii="Garamond" w:hAnsi="Garamond"/>
        </w:rPr>
        <w:t xml:space="preserve"> Пекин</w:t>
      </w:r>
      <w:r>
        <w:rPr>
          <w:rFonts w:eastAsia="MingLiU;細明體" w:cs="Garamond" w:ascii="Garamond" w:hAnsi="Garamond"/>
          <w:lang w:val="en-US"/>
        </w:rPr>
        <w:t>, 1994 [</w:t>
      </w:r>
      <w:r>
        <w:rPr>
          <w:rFonts w:ascii="Garamond" w:hAnsi="Garamond" w:cs="Times New Roman" w:eastAsia="MingLiU;細明體"/>
        </w:rPr>
        <w:t>中国社会科学院考古研究所</w:t>
      </w:r>
      <w:r>
        <w:rPr>
          <w:rFonts w:ascii="Garamond" w:hAnsi="Garamond" w:cs="Garamond" w:eastAsia="Garamond"/>
          <w:i/>
          <w:lang w:val="en-US"/>
        </w:rPr>
        <w:t xml:space="preserve"> </w:t>
      </w:r>
      <w:r>
        <w:rPr>
          <w:rFonts w:eastAsia="MingLiU;細明體" w:cs="Garamond" w:ascii="Garamond" w:hAnsi="Garamond"/>
          <w:iCs/>
          <w:lang w:val="en-US"/>
        </w:rPr>
        <w:t>(</w:t>
      </w:r>
      <w:r>
        <w:rPr>
          <w:rFonts w:eastAsia="MingLiU;細明體" w:cs="Garamond" w:ascii="Garamond" w:hAnsi="Garamond"/>
          <w:lang w:val="en-US"/>
        </w:rPr>
        <w:t xml:space="preserve">Institute of Archaeology of the Chinese Academy of Social Sciences). </w:t>
      </w:r>
      <w:r>
        <w:rPr>
          <w:rFonts w:ascii="Garamond" w:hAnsi="Garamond" w:cs="Times New Roman" w:eastAsia="MingLiU;細明體"/>
          <w:iCs/>
        </w:rPr>
        <w:t>殷墟的</w:t>
      </w:r>
      <w:r>
        <w:rPr>
          <w:rFonts w:ascii="Garamond" w:hAnsi="Garamond" w:cs="Times New Roman"/>
          <w:iCs/>
        </w:rPr>
        <w:t>发现</w:t>
      </w:r>
      <w:r>
        <w:rPr>
          <w:rFonts w:ascii="Garamond" w:hAnsi="Garamond" w:cs="Times New Roman" w:eastAsia="MingLiU;細明體"/>
          <w:iCs/>
        </w:rPr>
        <w:t>与研究</w:t>
      </w:r>
      <w:r>
        <w:rPr>
          <w:rFonts w:eastAsia="MingLiU;細明體" w:cs="Garamond" w:ascii="Garamond" w:hAnsi="Garamond"/>
          <w:lang w:val="en-US"/>
        </w:rPr>
        <w:t xml:space="preserve">. </w:t>
      </w:r>
      <w:r>
        <w:rPr>
          <w:rFonts w:eastAsia="MingLiU;細明體" w:cs="Garamond" w:ascii="Garamond" w:hAnsi="Garamond"/>
          <w:i/>
          <w:lang w:val="en-US"/>
        </w:rPr>
        <w:t>Discovery and Research of the Yin Ruins</w:t>
      </w:r>
      <w:r>
        <w:rPr>
          <w:rFonts w:eastAsia="MingLiU;細明體" w:cs="Garamond" w:ascii="Garamond" w:hAnsi="Garamond"/>
          <w:lang w:val="en-US"/>
        </w:rPr>
        <w:t>. Beijing, 1994 (in Chinese)].</w:t>
      </w:r>
    </w:p>
    <w:p>
      <w:pPr>
        <w:pStyle w:val="NoSpacing"/>
        <w:tabs>
          <w:tab w:val="clear" w:pos="709"/>
          <w:tab w:val="left" w:pos="720" w:leader="none"/>
        </w:tabs>
        <w:autoSpaceDE w:val="false"/>
        <w:ind w:start="720" w:end="-31" w:hanging="720"/>
        <w:jc w:val="both"/>
        <w:rPr/>
      </w:pPr>
      <w:r>
        <w:rPr>
          <w:rFonts w:eastAsia="MingLiU;細明體" w:cs="Garamond" w:ascii="Garamond" w:hAnsi="Garamond"/>
        </w:rPr>
        <w:t xml:space="preserve">Институт археологии Академии Общественных наук КНР. </w:t>
      </w:r>
      <w:r>
        <w:rPr>
          <w:rFonts w:eastAsia="MingLiU;細明體" w:cs="Garamond" w:ascii="Garamond" w:hAnsi="Garamond"/>
          <w:i/>
        </w:rPr>
        <w:t>Раскопки у дер.</w:t>
      </w:r>
      <w:r>
        <w:rPr>
          <w:rFonts w:eastAsia="MingLiU;細明體" w:cs="Garamond" w:ascii="Garamond" w:hAnsi="Garamond"/>
          <w:i/>
          <w:lang w:val="en-US"/>
        </w:rPr>
        <w:t> </w:t>
      </w:r>
      <w:r>
        <w:rPr>
          <w:rFonts w:eastAsia="MingLiU;細明體" w:cs="Garamond" w:ascii="Garamond" w:hAnsi="Garamond"/>
          <w:i/>
        </w:rPr>
        <w:t>Сяотунь под Аньяном.</w:t>
      </w:r>
      <w:r>
        <w:rPr>
          <w:rFonts w:eastAsia="MingLiU;細明體" w:cs="Garamond" w:ascii="Garamond" w:hAnsi="Garamond"/>
        </w:rPr>
        <w:t xml:space="preserve"> Пекин</w:t>
      </w:r>
      <w:r>
        <w:rPr>
          <w:rFonts w:eastAsia="MingLiU;細明體" w:cs="Garamond" w:ascii="Garamond" w:hAnsi="Garamond"/>
          <w:lang w:val="en-US"/>
        </w:rPr>
        <w:t>, 2004 [</w:t>
      </w:r>
      <w:r>
        <w:rPr>
          <w:rFonts w:ascii="Garamond" w:hAnsi="Garamond" w:cs="Times New Roman" w:eastAsia="MingLiU;細明體"/>
        </w:rPr>
        <w:t>中國社會科學院考古研究所</w:t>
      </w:r>
      <w:r>
        <w:rPr>
          <w:rFonts w:ascii="Garamond" w:hAnsi="Garamond" w:cs="Garamond" w:eastAsia="Garamond"/>
          <w:lang w:val="en-US"/>
        </w:rPr>
        <w:t xml:space="preserve"> </w:t>
      </w:r>
      <w:r>
        <w:rPr>
          <w:rFonts w:eastAsia="MingLiU;細明體" w:cs="Garamond" w:ascii="Garamond" w:hAnsi="Garamond"/>
          <w:lang w:val="en-US"/>
        </w:rPr>
        <w:t xml:space="preserve">(Institute of Archaeology of the Chinese Academy of Social Sciences). </w:t>
      </w:r>
      <w:r>
        <w:rPr>
          <w:rFonts w:ascii="Garamond" w:hAnsi="Garamond" w:cs="Times New Roman" w:eastAsia="MingLiU;細明體"/>
          <w:iCs/>
        </w:rPr>
        <w:t>安阳小屯</w:t>
      </w:r>
      <w:r>
        <w:rPr>
          <w:rFonts w:eastAsia="MingLiU;細明體" w:cs="Garamond" w:ascii="Garamond" w:hAnsi="Garamond"/>
          <w:i/>
          <w:lang w:val="en-US"/>
        </w:rPr>
        <w:t>.</w:t>
      </w:r>
      <w:r>
        <w:rPr>
          <w:rFonts w:eastAsia="MingLiU;細明體" w:cs="Garamond" w:ascii="Garamond" w:hAnsi="Garamond"/>
          <w:lang w:val="en-US"/>
        </w:rPr>
        <w:t xml:space="preserve"> </w:t>
      </w:r>
      <w:r>
        <w:rPr>
          <w:rFonts w:eastAsia="MingLiU;細明體" w:cs="Garamond" w:ascii="Garamond" w:hAnsi="Garamond"/>
          <w:i/>
          <w:lang w:val="en-US"/>
        </w:rPr>
        <w:t>Xiaotun near Anyang</w:t>
      </w:r>
      <w:r>
        <w:rPr>
          <w:rFonts w:eastAsia="MingLiU;細明體" w:cs="Garamond" w:ascii="Garamond" w:hAnsi="Garamond"/>
          <w:lang w:val="en-US"/>
        </w:rPr>
        <w:t xml:space="preserve">. Beijing, 2004 (in Chinese)]. </w:t>
      </w:r>
    </w:p>
    <w:p>
      <w:pPr>
        <w:pStyle w:val="NoSpacing"/>
        <w:tabs>
          <w:tab w:val="clear" w:pos="709"/>
          <w:tab w:val="left" w:pos="720" w:leader="none"/>
        </w:tabs>
        <w:ind w:start="720" w:end="-31" w:hanging="720"/>
        <w:jc w:val="both"/>
        <w:rPr/>
      </w:pPr>
      <w:r>
        <w:rPr>
          <w:rFonts w:eastAsia="MingLiU;細明體" w:cs="Garamond" w:ascii="Garamond" w:hAnsi="Garamond"/>
        </w:rPr>
        <w:t>Инь</w:t>
      </w:r>
      <w:r>
        <w:rPr>
          <w:rFonts w:eastAsia="MingLiU;細明體" w:cs="Garamond" w:ascii="Garamond" w:hAnsi="Garamond"/>
          <w:lang w:val="en-US"/>
        </w:rPr>
        <w:t xml:space="preserve"> </w:t>
      </w:r>
      <w:r>
        <w:rPr>
          <w:rFonts w:eastAsia="MingLiU;細明體" w:cs="Garamond" w:ascii="Garamond" w:hAnsi="Garamond"/>
        </w:rPr>
        <w:t>Вэйчжан</w:t>
      </w:r>
      <w:r>
        <w:rPr>
          <w:rFonts w:eastAsia="MingLiU;細明體" w:cs="Garamond" w:ascii="Garamond" w:hAnsi="Garamond"/>
          <w:lang w:val="en-US"/>
        </w:rPr>
        <w:t xml:space="preserve">. </w:t>
      </w:r>
      <w:r>
        <w:rPr>
          <w:rFonts w:eastAsia="MingLiU;細明體" w:cs="Garamond" w:ascii="Garamond" w:hAnsi="Garamond"/>
        </w:rPr>
        <w:t>Роль</w:t>
      </w:r>
      <w:r>
        <w:rPr>
          <w:rFonts w:eastAsia="MingLiU;細明體" w:cs="Garamond" w:ascii="Garamond" w:hAnsi="Garamond"/>
          <w:lang w:val="en-US"/>
        </w:rPr>
        <w:t xml:space="preserve"> </w:t>
      </w:r>
      <w:r>
        <w:rPr>
          <w:rFonts w:eastAsia="MingLiU;細明體" w:cs="Garamond" w:ascii="Garamond" w:hAnsi="Garamond"/>
        </w:rPr>
        <w:t>раскопок</w:t>
      </w:r>
      <w:r>
        <w:rPr>
          <w:rFonts w:eastAsia="MingLiU;細明體" w:cs="Garamond" w:ascii="Garamond" w:hAnsi="Garamond"/>
          <w:lang w:val="en-US"/>
        </w:rPr>
        <w:t xml:space="preserve"> </w:t>
      </w:r>
      <w:r>
        <w:rPr>
          <w:rFonts w:eastAsia="MingLiU;細明體" w:cs="Garamond" w:ascii="Garamond" w:hAnsi="Garamond"/>
        </w:rPr>
        <w:t>Иньсюя</w:t>
      </w:r>
      <w:r>
        <w:rPr>
          <w:rFonts w:eastAsia="MingLiU;細明體" w:cs="Garamond" w:ascii="Garamond" w:hAnsi="Garamond"/>
          <w:lang w:val="en-US"/>
        </w:rPr>
        <w:t xml:space="preserve"> </w:t>
      </w:r>
      <w:r>
        <w:rPr>
          <w:rFonts w:eastAsia="MingLiU;細明體" w:cs="Garamond" w:ascii="Garamond" w:hAnsi="Garamond"/>
        </w:rPr>
        <w:t>в</w:t>
      </w:r>
      <w:r>
        <w:rPr>
          <w:rFonts w:eastAsia="MingLiU;細明體" w:cs="Garamond" w:ascii="Garamond" w:hAnsi="Garamond"/>
          <w:lang w:val="en-US"/>
        </w:rPr>
        <w:t xml:space="preserve"> </w:t>
      </w:r>
      <w:r>
        <w:rPr>
          <w:rFonts w:eastAsia="MingLiU;細明體" w:cs="Garamond" w:ascii="Garamond" w:hAnsi="Garamond"/>
        </w:rPr>
        <w:t>китайской</w:t>
      </w:r>
      <w:r>
        <w:rPr>
          <w:rFonts w:eastAsia="MingLiU;細明體" w:cs="Garamond" w:ascii="Garamond" w:hAnsi="Garamond"/>
          <w:lang w:val="en-US"/>
        </w:rPr>
        <w:t xml:space="preserve"> </w:t>
      </w:r>
      <w:r>
        <w:rPr>
          <w:rFonts w:eastAsia="MingLiU;細明體" w:cs="Garamond" w:ascii="Garamond" w:hAnsi="Garamond"/>
        </w:rPr>
        <w:t>археологии</w:t>
      </w:r>
      <w:r>
        <w:rPr>
          <w:rFonts w:eastAsia="MingLiU;細明體" w:cs="Garamond" w:ascii="Garamond" w:hAnsi="Garamond"/>
          <w:lang w:val="en-US"/>
        </w:rPr>
        <w:t xml:space="preserve">. </w:t>
      </w:r>
      <w:r>
        <w:rPr>
          <w:rFonts w:eastAsia="MingLiU;細明體" w:cs="Garamond" w:ascii="Garamond" w:hAnsi="Garamond"/>
        </w:rPr>
        <w:t>Работы по китайской археологии. Сб.</w:t>
      </w:r>
      <w:r>
        <w:rPr>
          <w:rFonts w:eastAsia="MingLiU;細明體" w:cs="Garamond" w:ascii="Garamond" w:hAnsi="Garamond"/>
          <w:lang w:val="en-US"/>
        </w:rPr>
        <w:t> </w:t>
      </w:r>
      <w:r>
        <w:rPr>
          <w:rFonts w:eastAsia="MingLiU;細明體" w:cs="Garamond" w:ascii="Garamond" w:hAnsi="Garamond"/>
        </w:rPr>
        <w:t>15. Пекин</w:t>
      </w:r>
      <w:r>
        <w:rPr>
          <w:rFonts w:eastAsia="MingLiU;細明體" w:cs="Garamond" w:ascii="Garamond" w:hAnsi="Garamond"/>
          <w:lang w:val="en-US"/>
        </w:rPr>
        <w:t>, 2004. C. 31–36 [</w:t>
      </w:r>
      <w:r>
        <w:rPr>
          <w:rFonts w:ascii="Garamond" w:hAnsi="Garamond" w:cs="Times New Roman" w:eastAsia="MingLiU;細明體"/>
        </w:rPr>
        <w:t>殷</w:t>
      </w:r>
      <w:r>
        <w:rPr>
          <w:rFonts w:ascii="Garamond" w:hAnsi="Garamond" w:cs="Times New Roman"/>
        </w:rPr>
        <w:t>玮</w:t>
      </w:r>
      <w:r>
        <w:rPr>
          <w:rFonts w:ascii="Garamond" w:hAnsi="Garamond" w:cs="Times New Roman" w:eastAsia="MingLiU;細明體"/>
        </w:rPr>
        <w:t>璋</w:t>
      </w:r>
      <w:r>
        <w:rPr>
          <w:rFonts w:ascii="Garamond" w:hAnsi="Garamond" w:cs="Garamond" w:eastAsia="Garamond"/>
          <w:lang w:val="en-US"/>
        </w:rPr>
        <w:t xml:space="preserve"> </w:t>
      </w:r>
      <w:r>
        <w:rPr>
          <w:rFonts w:eastAsia="MingLiU;細明體" w:cs="Garamond" w:ascii="Garamond" w:hAnsi="Garamond"/>
          <w:lang w:val="en-US"/>
        </w:rPr>
        <w:t xml:space="preserve">(Yin Weizhang). </w:t>
      </w:r>
      <w:r>
        <w:rPr>
          <w:rFonts w:ascii="Garamond" w:hAnsi="Garamond" w:cs="Times New Roman" w:eastAsia="MingLiU;細明體"/>
        </w:rPr>
        <w:t>殷墟</w:t>
      </w:r>
      <w:r>
        <w:rPr>
          <w:rFonts w:ascii="Garamond" w:hAnsi="Garamond" w:cs="Times New Roman"/>
        </w:rPr>
        <w:t>发</w:t>
      </w:r>
      <w:r>
        <w:rPr>
          <w:rFonts w:ascii="Garamond" w:hAnsi="Garamond" w:cs="Times New Roman" w:eastAsia="MingLiU;細明體"/>
        </w:rPr>
        <w:t>掘在中国考古学中的地位</w:t>
      </w:r>
      <w:r>
        <w:rPr>
          <w:rFonts w:eastAsia="MingLiU;細明體" w:cs="Garamond" w:ascii="Garamond" w:hAnsi="Garamond"/>
          <w:lang w:val="en-US"/>
        </w:rPr>
        <w:t xml:space="preserve">. The Role of Yinxu Archaeology in Chinese Archaeology. </w:t>
      </w:r>
      <w:r>
        <w:rPr>
          <w:rFonts w:ascii="Garamond" w:hAnsi="Garamond" w:cs="Times New Roman" w:eastAsia="MingLiU;細明體"/>
          <w:iCs/>
        </w:rPr>
        <w:t>考古学集刊</w:t>
      </w:r>
      <w:r>
        <w:rPr>
          <w:rFonts w:eastAsia="MingLiU;細明體" w:cs="Garamond" w:ascii="Garamond" w:hAnsi="Garamond"/>
          <w:iCs/>
          <w:lang w:val="en-US"/>
        </w:rPr>
        <w:t>.</w:t>
      </w:r>
      <w:r>
        <w:rPr>
          <w:rFonts w:eastAsia="MingLiU;細明體" w:cs="Garamond" w:ascii="Garamond" w:hAnsi="Garamond"/>
          <w:lang w:val="en-US"/>
        </w:rPr>
        <w:t xml:space="preserve"> </w:t>
      </w:r>
      <w:r>
        <w:rPr>
          <w:rFonts w:eastAsia="MingLiU;細明體" w:cs="Garamond" w:ascii="Garamond" w:hAnsi="Garamond"/>
          <w:i/>
          <w:lang w:val="en-US"/>
        </w:rPr>
        <w:t>Papers on Chinese Archaeology</w:t>
      </w:r>
      <w:r>
        <w:rPr>
          <w:rFonts w:eastAsia="MingLiU;細明體" w:cs="Garamond" w:ascii="Garamond" w:hAnsi="Garamond"/>
          <w:lang w:val="en-US"/>
        </w:rPr>
        <w:t>. No. 15. Beijing, 2004. Pp. 31–36 (in</w:t>
      </w:r>
      <w:r>
        <w:rPr>
          <w:rFonts w:eastAsia="MingLiU;細明體" w:cs="Garamond" w:ascii="Garamond" w:hAnsi="Garamond"/>
        </w:rPr>
        <w:t> </w:t>
      </w:r>
      <w:r>
        <w:rPr>
          <w:rFonts w:eastAsia="MingLiU;細明體" w:cs="Garamond" w:ascii="Garamond" w:hAnsi="Garamond"/>
          <w:lang w:val="en-US"/>
        </w:rPr>
        <w:t xml:space="preserve">Chinese)]. </w:t>
      </w:r>
    </w:p>
    <w:p>
      <w:pPr>
        <w:pStyle w:val="NoSpacing"/>
        <w:tabs>
          <w:tab w:val="clear" w:pos="709"/>
          <w:tab w:val="left" w:pos="720" w:leader="none"/>
        </w:tabs>
        <w:ind w:start="720" w:end="-31" w:hanging="720"/>
        <w:jc w:val="both"/>
        <w:rPr/>
      </w:pPr>
      <w:r>
        <w:rPr>
          <w:rFonts w:eastAsia="MingLiU;細明體" w:cs="Garamond" w:ascii="Garamond" w:hAnsi="Garamond"/>
        </w:rPr>
        <w:t>Коллектив проекта «Хронология Трех династий</w:t>
      </w:r>
      <w:r>
        <w:rPr>
          <w:rFonts w:eastAsia="MingLiU;細明體" w:cs="Garamond" w:ascii="Garamond" w:hAnsi="Garamond"/>
          <w:lang w:val="en-US"/>
        </w:rPr>
        <w:t> </w:t>
      </w:r>
      <w:r>
        <w:rPr>
          <w:rFonts w:eastAsia="MingLiU;細明體" w:cs="Garamond" w:ascii="Garamond" w:hAnsi="Garamond"/>
        </w:rPr>
        <w:t>— Ся, Шан и Чжоу». Краткий отчет о проекте «Хронология Трех династий</w:t>
      </w:r>
      <w:r>
        <w:rPr>
          <w:rFonts w:eastAsia="MingLiU;細明體" w:cs="Garamond" w:ascii="Garamond" w:hAnsi="Garamond"/>
          <w:lang w:val="en-US"/>
        </w:rPr>
        <w:t> </w:t>
      </w:r>
      <w:r>
        <w:rPr>
          <w:rFonts w:eastAsia="MingLiU;細明體" w:cs="Garamond" w:ascii="Garamond" w:hAnsi="Garamond"/>
        </w:rPr>
        <w:t>— Ся, Шан и Чжоу» в 1996–2000 гг. Пекин, 2000 [</w:t>
      </w:r>
      <w:r>
        <w:rPr>
          <w:rFonts w:ascii="Garamond" w:hAnsi="Garamond" w:cs="Times New Roman" w:eastAsia="MingLiU;細明體"/>
        </w:rPr>
        <w:t>夏商周断代工程</w:t>
      </w:r>
      <w:r>
        <w:rPr>
          <w:rFonts w:ascii="Garamond" w:hAnsi="Garamond" w:cs="Times New Roman"/>
        </w:rPr>
        <w:t>专</w:t>
      </w:r>
      <w:r>
        <w:rPr>
          <w:rFonts w:ascii="Garamond" w:hAnsi="Garamond" w:cs="Times New Roman" w:eastAsia="MingLiU;細明體"/>
        </w:rPr>
        <w:t>家</w:t>
      </w:r>
      <w:r>
        <w:rPr>
          <w:rFonts w:ascii="Garamond" w:hAnsi="Garamond" w:cs="Times New Roman"/>
        </w:rPr>
        <w:t>组</w:t>
      </w:r>
      <w:r>
        <w:rPr>
          <w:rFonts w:ascii="Garamond" w:hAnsi="Garamond" w:cs="Garamond" w:eastAsia="Garamond"/>
        </w:rPr>
        <w:t xml:space="preserve"> </w:t>
      </w:r>
      <w:r>
        <w:rPr>
          <w:rFonts w:eastAsia="MingLiU;細明體" w:cs="Garamond" w:ascii="Garamond" w:hAnsi="Garamond"/>
        </w:rPr>
        <w:t>(</w:t>
      </w:r>
      <w:r>
        <w:rPr>
          <w:rFonts w:eastAsia="MingLiU;細明體" w:cs="Garamond" w:ascii="Garamond" w:hAnsi="Garamond"/>
          <w:lang w:val="en-US"/>
        </w:rPr>
        <w:t>Xia</w:t>
      </w:r>
      <w:r>
        <w:rPr>
          <w:rFonts w:eastAsia="MingLiU;細明體" w:cs="Garamond" w:ascii="Garamond" w:hAnsi="Garamond"/>
        </w:rPr>
        <w:t>–</w:t>
      </w:r>
      <w:r>
        <w:rPr>
          <w:rFonts w:eastAsia="MingLiU;細明體" w:cs="Garamond" w:ascii="Garamond" w:hAnsi="Garamond"/>
          <w:lang w:val="en-US"/>
        </w:rPr>
        <w:t>Shang</w:t>
      </w:r>
      <w:r>
        <w:rPr>
          <w:rFonts w:eastAsia="MingLiU;細明體" w:cs="Garamond" w:ascii="Garamond" w:hAnsi="Garamond"/>
        </w:rPr>
        <w:t>–</w:t>
      </w:r>
      <w:r>
        <w:rPr>
          <w:rFonts w:eastAsia="MingLiU;細明體" w:cs="Garamond" w:ascii="Garamond" w:hAnsi="Garamond"/>
          <w:lang w:val="en-US"/>
        </w:rPr>
        <w:t>Zhou</w:t>
      </w:r>
      <w:r>
        <w:rPr>
          <w:rFonts w:eastAsia="MingLiU;細明體" w:cs="Garamond" w:ascii="Garamond" w:hAnsi="Garamond"/>
        </w:rPr>
        <w:t xml:space="preserve"> </w:t>
      </w:r>
      <w:r>
        <w:rPr>
          <w:rFonts w:eastAsia="MingLiU;細明體" w:cs="Garamond" w:ascii="Garamond" w:hAnsi="Garamond"/>
          <w:lang w:val="en-US"/>
        </w:rPr>
        <w:t>Chronology</w:t>
      </w:r>
      <w:r>
        <w:rPr>
          <w:rFonts w:eastAsia="MingLiU;細明體" w:cs="Garamond" w:ascii="Garamond" w:hAnsi="Garamond"/>
        </w:rPr>
        <w:t xml:space="preserve"> </w:t>
      </w:r>
      <w:r>
        <w:rPr>
          <w:rFonts w:eastAsia="MingLiU;細明體" w:cs="Garamond" w:ascii="Garamond" w:hAnsi="Garamond"/>
          <w:lang w:val="en-US"/>
        </w:rPr>
        <w:t>Project</w:t>
      </w:r>
      <w:r>
        <w:rPr>
          <w:rFonts w:eastAsia="MingLiU;細明體" w:cs="Garamond" w:ascii="Garamond" w:hAnsi="Garamond"/>
        </w:rPr>
        <w:t xml:space="preserve"> </w:t>
      </w:r>
      <w:r>
        <w:rPr>
          <w:rFonts w:eastAsia="MingLiU;細明體" w:cs="Garamond" w:ascii="Garamond" w:hAnsi="Garamond"/>
          <w:lang w:val="en-US"/>
        </w:rPr>
        <w:t>team</w:t>
      </w:r>
      <w:r>
        <w:rPr>
          <w:rFonts w:eastAsia="MingLiU;細明體" w:cs="Garamond" w:ascii="Garamond" w:hAnsi="Garamond"/>
        </w:rPr>
        <w:t xml:space="preserve">). </w:t>
      </w:r>
      <w:r>
        <w:rPr>
          <w:rFonts w:ascii="Garamond" w:hAnsi="Garamond" w:cs="Times New Roman" w:eastAsia="MingLiU;細明體"/>
          <w:iCs/>
        </w:rPr>
        <w:t>夏商周断代工程</w:t>
      </w:r>
      <w:r>
        <w:rPr>
          <w:rFonts w:eastAsia="MingLiU;細明體" w:cs="Garamond" w:ascii="Garamond" w:hAnsi="Garamond"/>
          <w:iCs/>
        </w:rPr>
        <w:t>1996–2000</w:t>
      </w:r>
      <w:r>
        <w:rPr>
          <w:rFonts w:ascii="Garamond" w:hAnsi="Garamond" w:cs="Times New Roman" w:eastAsia="MingLiU;細明體"/>
          <w:iCs/>
        </w:rPr>
        <w:t>年</w:t>
      </w:r>
      <w:r>
        <w:rPr>
          <w:rFonts w:ascii="Garamond" w:hAnsi="Garamond" w:cs="Times New Roman"/>
          <w:iCs/>
        </w:rPr>
        <w:t>阶</w:t>
      </w:r>
      <w:r>
        <w:rPr>
          <w:rFonts w:ascii="Garamond" w:hAnsi="Garamond" w:cs="Times New Roman" w:eastAsia="MingLiU;細明體"/>
          <w:iCs/>
        </w:rPr>
        <w:t>段成果报告</w:t>
      </w:r>
      <w:r>
        <w:rPr>
          <w:rFonts w:eastAsia="MingLiU;細明體" w:cs="Garamond" w:ascii="Garamond" w:hAnsi="Garamond"/>
        </w:rPr>
        <w:t xml:space="preserve">. </w:t>
      </w:r>
      <w:r>
        <w:rPr>
          <w:rFonts w:eastAsia="MingLiU;細明體" w:cs="Garamond" w:ascii="Garamond" w:hAnsi="Garamond"/>
          <w:i/>
          <w:lang w:val="en-US"/>
        </w:rPr>
        <w:t>Brief Report of Xia–Shang–Zhou Chronology Project Work in 1996–2000</w:t>
      </w:r>
      <w:r>
        <w:rPr>
          <w:rFonts w:eastAsia="MingLiU;細明體" w:cs="Garamond" w:ascii="Garamond" w:hAnsi="Garamond"/>
          <w:lang w:val="en-US"/>
        </w:rPr>
        <w:t>. Beijing</w:t>
      </w:r>
      <w:r>
        <w:rPr>
          <w:rFonts w:eastAsia="MingLiU;細明體" w:cs="Garamond" w:ascii="Garamond" w:hAnsi="Garamond"/>
        </w:rPr>
        <w:t>, 2000 (</w:t>
      </w:r>
      <w:r>
        <w:rPr>
          <w:rFonts w:eastAsia="MingLiU;細明體" w:cs="Garamond" w:ascii="Garamond" w:hAnsi="Garamond"/>
          <w:lang w:val="en-US"/>
        </w:rPr>
        <w:t>in</w:t>
      </w:r>
      <w:r>
        <w:rPr>
          <w:rFonts w:eastAsia="MingLiU;細明體" w:cs="Garamond" w:ascii="Garamond" w:hAnsi="Garamond"/>
        </w:rPr>
        <w:t xml:space="preserve"> </w:t>
      </w:r>
      <w:r>
        <w:rPr>
          <w:rFonts w:eastAsia="MingLiU;細明體" w:cs="Garamond" w:ascii="Garamond" w:hAnsi="Garamond"/>
          <w:lang w:val="en-US"/>
        </w:rPr>
        <w:t>Chinese</w:t>
      </w:r>
      <w:r>
        <w:rPr>
          <w:rFonts w:eastAsia="MingLiU;細明體" w:cs="Garamond" w:ascii="Garamond" w:hAnsi="Garamond"/>
        </w:rPr>
        <w:t xml:space="preserve">)]. </w:t>
      </w:r>
    </w:p>
    <w:p>
      <w:pPr>
        <w:pStyle w:val="NoSpacing"/>
        <w:tabs>
          <w:tab w:val="clear" w:pos="709"/>
          <w:tab w:val="left" w:pos="720" w:leader="none"/>
        </w:tabs>
        <w:ind w:start="720" w:end="-31" w:hanging="720"/>
        <w:jc w:val="both"/>
        <w:rPr>
          <w:rStyle w:val="Style18"/>
          <w:rFonts w:ascii="Garamond" w:hAnsi="Garamond" w:eastAsia="MingLiU;細明體" w:cs="Garamond"/>
          <w:i w:val="false"/>
          <w:i w:val="false"/>
          <w:iCs w:val="false"/>
          <w:lang w:val="en-US"/>
        </w:rPr>
      </w:pPr>
      <w:r>
        <w:rPr>
          <w:rFonts w:eastAsia="MingLiU;細明體" w:cs="Garamond" w:ascii="Garamond" w:hAnsi="Garamond"/>
        </w:rPr>
        <w:t>Кузнецова-Фетисова М. Е. Первый семинар «Династии и престолонаследие в Древнем Китае» в серии «“Colloq</w:t>
      </w:r>
      <w:r>
        <w:rPr>
          <w:rFonts w:eastAsia="MingLiU;細明體" w:cs="Garamond" w:ascii="Garamond" w:hAnsi="Garamond"/>
          <w:lang w:val="en-US"/>
        </w:rPr>
        <w:t>u</w:t>
      </w:r>
      <w:r>
        <w:rPr>
          <w:rFonts w:eastAsia="MingLiU;細明體" w:cs="Garamond" w:ascii="Garamond" w:hAnsi="Garamond"/>
        </w:rPr>
        <w:t xml:space="preserve">ium Stanislavi”. Терминология для описания власти и родства в Древнем Китае». </w:t>
      </w:r>
      <w:r>
        <w:rPr>
          <w:rFonts w:cs="Garamond" w:ascii="Garamond" w:hAnsi="Garamond"/>
          <w:i/>
          <w:iCs/>
        </w:rPr>
        <w:t>Вестник Института востоковедения РАН.</w:t>
      </w:r>
      <w:r>
        <w:rPr>
          <w:rFonts w:cs="Garamond" w:ascii="Garamond" w:hAnsi="Garamond"/>
        </w:rPr>
        <w:t xml:space="preserve"> 2020. </w:t>
      </w:r>
      <w:r>
        <w:rPr>
          <w:rFonts w:cs="Garamond" w:ascii="Garamond" w:hAnsi="Garamond"/>
          <w:lang w:val="en-US"/>
        </w:rPr>
        <w:t xml:space="preserve">№ 4. </w:t>
      </w:r>
      <w:r>
        <w:rPr>
          <w:rFonts w:cs="Garamond" w:ascii="Garamond" w:hAnsi="Garamond"/>
        </w:rPr>
        <w:t>С</w:t>
      </w:r>
      <w:r>
        <w:rPr>
          <w:rFonts w:cs="Garamond" w:ascii="Garamond" w:hAnsi="Garamond"/>
          <w:lang w:val="en-US"/>
        </w:rPr>
        <w:t>. 318–325 [</w:t>
      </w:r>
      <w:r>
        <w:rPr>
          <w:rFonts w:eastAsia="MingLiU;細明體" w:cs="Garamond" w:ascii="Garamond" w:hAnsi="Garamond"/>
          <w:lang w:val="en-US"/>
        </w:rPr>
        <w:t>Kuznetsova-Fetisova M. E. First Seminar ‘Dynasties and Succession to the Throne in Ancient China’. Series “</w:t>
      </w:r>
      <w:r>
        <w:rPr>
          <w:rFonts w:eastAsia="MingLiU;細明體" w:cs="Garamond" w:ascii="Garamond" w:hAnsi="Garamond"/>
          <w:i/>
          <w:iCs/>
          <w:lang w:val="en-US"/>
        </w:rPr>
        <w:t>Colloquium Stanislavi</w:t>
      </w:r>
      <w:r>
        <w:rPr>
          <w:rFonts w:eastAsia="MingLiU;細明體" w:cs="Garamond" w:ascii="Garamond" w:hAnsi="Garamond"/>
          <w:lang w:val="en-US"/>
        </w:rPr>
        <w:t xml:space="preserve">. Terminology Describing Power and Kinship in Ancient China”. </w:t>
      </w:r>
      <w:r>
        <w:rPr>
          <w:rFonts w:cs="Garamond" w:ascii="Garamond" w:hAnsi="Garamond"/>
          <w:i/>
          <w:lang w:val="en-US"/>
        </w:rPr>
        <w:t>Vestnik Instituta vostokovedenija RAN</w:t>
      </w:r>
      <w:r>
        <w:rPr>
          <w:rFonts w:cs="Garamond" w:ascii="Garamond" w:hAnsi="Garamond"/>
          <w:lang w:val="en-US"/>
        </w:rPr>
        <w:t>. 2020. 4. Pp. 318–325 (in Russian)].</w:t>
      </w:r>
    </w:p>
    <w:p>
      <w:pPr>
        <w:pStyle w:val="NoSpacing"/>
        <w:tabs>
          <w:tab w:val="clear" w:pos="709"/>
          <w:tab w:val="left" w:pos="720" w:leader="none"/>
        </w:tabs>
        <w:ind w:start="720" w:end="-31" w:hanging="720"/>
        <w:jc w:val="both"/>
        <w:rPr/>
      </w:pPr>
      <w:r>
        <w:rPr>
          <w:rStyle w:val="Style18"/>
          <w:rFonts w:eastAsia="MingLiU;細明體" w:cs="Garamond" w:ascii="Garamond" w:hAnsi="Garamond"/>
          <w:i w:val="false"/>
          <w:iCs w:val="false"/>
        </w:rPr>
        <w:t>Кузнецова</w:t>
      </w:r>
      <w:r>
        <w:rPr>
          <w:rStyle w:val="Acopre"/>
          <w:rFonts w:eastAsia="MingLiU;細明體" w:cs="Garamond" w:ascii="Garamond" w:hAnsi="Garamond"/>
          <w:i/>
          <w:iCs/>
          <w:lang w:val="en-US"/>
        </w:rPr>
        <w:t>-</w:t>
      </w:r>
      <w:r>
        <w:rPr>
          <w:rStyle w:val="Style18"/>
          <w:rFonts w:eastAsia="MingLiU;細明體" w:cs="Garamond" w:ascii="Garamond" w:hAnsi="Garamond"/>
          <w:i w:val="false"/>
          <w:iCs w:val="false"/>
        </w:rPr>
        <w:t>Фетисова</w:t>
      </w:r>
      <w:r>
        <w:rPr>
          <w:rStyle w:val="Style18"/>
          <w:rFonts w:eastAsia="MingLiU;細明體" w:cs="Garamond" w:ascii="Garamond" w:hAnsi="Garamond"/>
          <w:i w:val="false"/>
          <w:iCs w:val="false"/>
          <w:lang w:val="en-US"/>
        </w:rPr>
        <w:t> </w:t>
      </w:r>
      <w:r>
        <w:rPr>
          <w:rStyle w:val="Style18"/>
          <w:rFonts w:eastAsia="MingLiU;細明體" w:cs="Garamond" w:ascii="Garamond" w:hAnsi="Garamond"/>
          <w:i w:val="false"/>
          <w:iCs w:val="false"/>
        </w:rPr>
        <w:t>М</w:t>
      </w:r>
      <w:r>
        <w:rPr>
          <w:rStyle w:val="Style18"/>
          <w:rFonts w:eastAsia="MingLiU;細明體" w:cs="Garamond" w:ascii="Garamond" w:hAnsi="Garamond"/>
          <w:i w:val="false"/>
          <w:iCs w:val="false"/>
          <w:lang w:val="en-US"/>
        </w:rPr>
        <w:t>. </w:t>
      </w:r>
      <w:r>
        <w:rPr>
          <w:rStyle w:val="Style18"/>
          <w:rFonts w:eastAsia="MingLiU;細明體" w:cs="Garamond" w:ascii="Garamond" w:hAnsi="Garamond"/>
          <w:i w:val="false"/>
          <w:iCs w:val="false"/>
        </w:rPr>
        <w:t>Е</w:t>
      </w:r>
      <w:r>
        <w:rPr>
          <w:rStyle w:val="Style18"/>
          <w:rFonts w:eastAsia="MingLiU;細明體" w:cs="Garamond" w:ascii="Garamond" w:hAnsi="Garamond"/>
          <w:i w:val="false"/>
          <w:iCs w:val="false"/>
          <w:lang w:val="en-US"/>
        </w:rPr>
        <w:t>.</w:t>
      </w:r>
      <w:r>
        <w:rPr>
          <w:rStyle w:val="Acopre"/>
          <w:rFonts w:eastAsia="MingLiU;細明體" w:cs="Garamond" w:ascii="Garamond" w:hAnsi="Garamond"/>
          <w:lang w:val="en-US"/>
        </w:rPr>
        <w:t xml:space="preserve"> </w:t>
      </w:r>
      <w:r>
        <w:rPr>
          <w:rStyle w:val="Acopre"/>
          <w:rFonts w:eastAsia="MingLiU;細明體" w:cs="Garamond" w:ascii="Garamond" w:hAnsi="Garamond"/>
          <w:i/>
          <w:lang w:val="en-US"/>
        </w:rPr>
        <w:t>«</w:t>
      </w:r>
      <w:r>
        <w:rPr>
          <w:rStyle w:val="Style18"/>
          <w:rFonts w:eastAsia="MingLiU;細明體" w:cs="Garamond" w:ascii="Garamond" w:hAnsi="Garamond"/>
        </w:rPr>
        <w:t>Великий</w:t>
      </w:r>
      <w:r>
        <w:rPr>
          <w:rStyle w:val="Style18"/>
          <w:rFonts w:eastAsia="MingLiU;細明體" w:cs="Garamond" w:ascii="Garamond" w:hAnsi="Garamond"/>
          <w:lang w:val="en-US"/>
        </w:rPr>
        <w:t xml:space="preserve"> </w:t>
      </w:r>
      <w:r>
        <w:rPr>
          <w:rStyle w:val="Style18"/>
          <w:rFonts w:eastAsia="MingLiU;細明體" w:cs="Garamond" w:ascii="Garamond" w:hAnsi="Garamond"/>
        </w:rPr>
        <w:t>город</w:t>
      </w:r>
      <w:r>
        <w:rPr>
          <w:rStyle w:val="Style18"/>
          <w:rFonts w:eastAsia="MingLiU;細明體" w:cs="Garamond" w:ascii="Garamond" w:hAnsi="Garamond"/>
          <w:lang w:val="en-US"/>
        </w:rPr>
        <w:t xml:space="preserve"> </w:t>
      </w:r>
      <w:r>
        <w:rPr>
          <w:rStyle w:val="Style18"/>
          <w:rFonts w:eastAsia="MingLiU;細明體" w:cs="Garamond" w:ascii="Garamond" w:hAnsi="Garamond"/>
        </w:rPr>
        <w:t>Шан</w:t>
      </w:r>
      <w:r>
        <w:rPr>
          <w:rStyle w:val="Acopre"/>
          <w:rFonts w:eastAsia="MingLiU;細明體" w:cs="Garamond" w:ascii="Garamond" w:hAnsi="Garamond"/>
          <w:i/>
          <w:lang w:val="en-US"/>
        </w:rPr>
        <w:t>» (XIV–XI </w:t>
      </w:r>
      <w:r>
        <w:rPr>
          <w:rStyle w:val="Acopre"/>
          <w:rFonts w:eastAsia="MingLiU;細明體" w:cs="Garamond" w:ascii="Garamond" w:hAnsi="Garamond"/>
          <w:i/>
        </w:rPr>
        <w:t>вв</w:t>
      </w:r>
      <w:r>
        <w:rPr>
          <w:rStyle w:val="Acopre"/>
          <w:rFonts w:eastAsia="MingLiU;細明體" w:cs="Garamond" w:ascii="Garamond" w:hAnsi="Garamond"/>
          <w:i/>
          <w:lang w:val="en-US"/>
        </w:rPr>
        <w:t xml:space="preserve">. </w:t>
      </w:r>
      <w:r>
        <w:rPr>
          <w:rStyle w:val="Acopre"/>
          <w:rFonts w:eastAsia="MingLiU;細明體" w:cs="Garamond" w:ascii="Garamond" w:hAnsi="Garamond"/>
          <w:i/>
        </w:rPr>
        <w:t>до</w:t>
      </w:r>
      <w:r>
        <w:rPr>
          <w:rStyle w:val="Acopre"/>
          <w:rFonts w:eastAsia="MingLiU;細明體" w:cs="Garamond" w:ascii="Garamond" w:hAnsi="Garamond"/>
          <w:i/>
          <w:lang w:val="en-US"/>
        </w:rPr>
        <w:t xml:space="preserve"> </w:t>
      </w:r>
      <w:r>
        <w:rPr>
          <w:rStyle w:val="Acopre"/>
          <w:rFonts w:eastAsia="MingLiU;細明體" w:cs="Garamond" w:ascii="Garamond" w:hAnsi="Garamond"/>
          <w:i/>
        </w:rPr>
        <w:t>н</w:t>
      </w:r>
      <w:r>
        <w:rPr>
          <w:rStyle w:val="Acopre"/>
          <w:rFonts w:eastAsia="MingLiU;細明體" w:cs="Garamond" w:ascii="Garamond" w:hAnsi="Garamond"/>
          <w:i/>
          <w:lang w:val="en-US"/>
        </w:rPr>
        <w:t>. </w:t>
      </w:r>
      <w:r>
        <w:rPr>
          <w:rStyle w:val="Acopre"/>
          <w:rFonts w:eastAsia="MingLiU;細明體" w:cs="Garamond" w:ascii="Garamond" w:hAnsi="Garamond"/>
          <w:i/>
        </w:rPr>
        <w:t>э</w:t>
      </w:r>
      <w:r>
        <w:rPr>
          <w:rStyle w:val="Acopre"/>
          <w:rFonts w:eastAsia="MingLiU;細明體" w:cs="Garamond" w:ascii="Garamond" w:hAnsi="Garamond"/>
          <w:i/>
          <w:lang w:val="en-US"/>
        </w:rPr>
        <w:t xml:space="preserve">.) </w:t>
      </w:r>
      <w:r>
        <w:rPr>
          <w:rStyle w:val="Acopre"/>
          <w:rFonts w:eastAsia="MingLiU;細明體" w:cs="Garamond" w:ascii="Garamond" w:hAnsi="Garamond"/>
          <w:i/>
        </w:rPr>
        <w:t>и</w:t>
      </w:r>
      <w:r>
        <w:rPr>
          <w:rStyle w:val="Acopre"/>
          <w:rFonts w:eastAsia="MingLiU;細明體" w:cs="Garamond" w:ascii="Garamond" w:hAnsi="Garamond"/>
          <w:i/>
          <w:lang w:val="en-US"/>
        </w:rPr>
        <w:t xml:space="preserve"> </w:t>
      </w:r>
      <w:r>
        <w:rPr>
          <w:rStyle w:val="Acopre"/>
          <w:rFonts w:eastAsia="MingLiU;細明體" w:cs="Garamond" w:ascii="Garamond" w:hAnsi="Garamond"/>
          <w:i/>
        </w:rPr>
        <w:t>его</w:t>
      </w:r>
      <w:r>
        <w:rPr>
          <w:rStyle w:val="Acopre"/>
          <w:rFonts w:eastAsia="MingLiU;細明體" w:cs="Garamond" w:ascii="Garamond" w:hAnsi="Garamond"/>
          <w:i/>
          <w:lang w:val="en-US"/>
        </w:rPr>
        <w:t xml:space="preserve"> </w:t>
      </w:r>
      <w:r>
        <w:rPr>
          <w:rStyle w:val="Acopre"/>
          <w:rFonts w:eastAsia="MingLiU;細明體" w:cs="Garamond" w:ascii="Garamond" w:hAnsi="Garamond"/>
          <w:i/>
        </w:rPr>
        <w:t>значение</w:t>
      </w:r>
      <w:r>
        <w:rPr>
          <w:rStyle w:val="Acopre"/>
          <w:rFonts w:eastAsia="MingLiU;細明體" w:cs="Garamond" w:ascii="Garamond" w:hAnsi="Garamond"/>
          <w:i/>
          <w:lang w:val="en-US"/>
        </w:rPr>
        <w:t xml:space="preserve"> </w:t>
      </w:r>
      <w:r>
        <w:rPr>
          <w:rStyle w:val="Acopre"/>
          <w:rFonts w:eastAsia="MingLiU;細明體" w:cs="Garamond" w:ascii="Garamond" w:hAnsi="Garamond"/>
          <w:i/>
        </w:rPr>
        <w:t>в</w:t>
      </w:r>
      <w:r>
        <w:rPr>
          <w:rStyle w:val="Acopre"/>
          <w:rFonts w:eastAsia="MingLiU;細明體" w:cs="Garamond" w:ascii="Garamond" w:hAnsi="Garamond"/>
          <w:i/>
          <w:lang w:val="en-US"/>
        </w:rPr>
        <w:t xml:space="preserve"> </w:t>
      </w:r>
      <w:r>
        <w:rPr>
          <w:rStyle w:val="Acopre"/>
          <w:rFonts w:eastAsia="MingLiU;細明體" w:cs="Garamond" w:ascii="Garamond" w:hAnsi="Garamond"/>
          <w:i/>
        </w:rPr>
        <w:t>древней</w:t>
      </w:r>
      <w:r>
        <w:rPr>
          <w:rStyle w:val="Acopre"/>
          <w:rFonts w:eastAsia="MingLiU;細明體" w:cs="Garamond" w:ascii="Garamond" w:hAnsi="Garamond"/>
          <w:i/>
          <w:lang w:val="en-US"/>
        </w:rPr>
        <w:t xml:space="preserve"> </w:t>
      </w:r>
      <w:r>
        <w:rPr>
          <w:rStyle w:val="Acopre"/>
          <w:rFonts w:eastAsia="MingLiU;細明體" w:cs="Garamond" w:ascii="Garamond" w:hAnsi="Garamond"/>
          <w:i/>
        </w:rPr>
        <w:t>истории</w:t>
      </w:r>
      <w:r>
        <w:rPr>
          <w:rStyle w:val="Acopre"/>
          <w:rFonts w:eastAsia="MingLiU;細明體" w:cs="Garamond" w:ascii="Garamond" w:hAnsi="Garamond"/>
          <w:i/>
          <w:lang w:val="en-US"/>
        </w:rPr>
        <w:t xml:space="preserve"> </w:t>
      </w:r>
      <w:r>
        <w:rPr>
          <w:rStyle w:val="Acopre"/>
          <w:rFonts w:eastAsia="MingLiU;細明體" w:cs="Garamond" w:ascii="Garamond" w:hAnsi="Garamond"/>
          <w:i/>
        </w:rPr>
        <w:t>Китая</w:t>
      </w:r>
      <w:r>
        <w:rPr>
          <w:rStyle w:val="Acopre"/>
          <w:rFonts w:eastAsia="MingLiU;細明體" w:cs="Garamond" w:ascii="Garamond" w:hAnsi="Garamond"/>
          <w:lang w:val="en-US"/>
        </w:rPr>
        <w:t xml:space="preserve">. </w:t>
      </w:r>
      <w:r>
        <w:rPr>
          <w:rStyle w:val="Acopre"/>
          <w:rFonts w:eastAsia="MingLiU;細明體" w:cs="Garamond" w:ascii="Garamond" w:hAnsi="Garamond"/>
        </w:rPr>
        <w:t>М</w:t>
      </w:r>
      <w:r>
        <w:rPr>
          <w:rStyle w:val="Acopre"/>
          <w:rFonts w:eastAsia="MingLiU;細明體" w:cs="Garamond" w:ascii="Garamond" w:hAnsi="Garamond"/>
          <w:lang w:val="en-US"/>
        </w:rPr>
        <w:t xml:space="preserve">., 2015 [Kuznetsova-Fetisova M. </w:t>
      </w:r>
      <w:r>
        <w:rPr>
          <w:rStyle w:val="Acopre"/>
          <w:rFonts w:eastAsia="MingLiU;細明體" w:cs="Garamond" w:ascii="Garamond" w:hAnsi="Garamond"/>
          <w:i/>
          <w:lang w:val="en-US"/>
        </w:rPr>
        <w:t>“Great Settlement Shang” (14</w:t>
      </w:r>
      <w:r>
        <w:rPr>
          <w:rStyle w:val="Acopre"/>
          <w:rFonts w:eastAsia="MingLiU;細明體" w:cs="Garamond" w:ascii="Garamond" w:hAnsi="Garamond"/>
          <w:i/>
          <w:vertAlign w:val="superscript"/>
          <w:lang w:val="en-US"/>
        </w:rPr>
        <w:t>th</w:t>
      </w:r>
      <w:r>
        <w:rPr>
          <w:rStyle w:val="Acopre"/>
          <w:rFonts w:eastAsia="MingLiU;細明體" w:cs="Garamond" w:ascii="Garamond" w:hAnsi="Garamond"/>
          <w:i/>
          <w:lang w:val="en-US"/>
        </w:rPr>
        <w:t>–11</w:t>
      </w:r>
      <w:r>
        <w:rPr>
          <w:rStyle w:val="Acopre"/>
          <w:rFonts w:eastAsia="MingLiU;細明體" w:cs="Garamond" w:ascii="Garamond" w:hAnsi="Garamond"/>
          <w:i/>
          <w:vertAlign w:val="superscript"/>
          <w:lang w:val="en-US"/>
        </w:rPr>
        <w:t>th</w:t>
      </w:r>
      <w:r>
        <w:rPr>
          <w:rStyle w:val="Acopre"/>
          <w:rFonts w:eastAsia="MingLiU;細明體" w:cs="Garamond" w:ascii="Garamond" w:hAnsi="Garamond"/>
          <w:i/>
          <w:lang w:val="en-US"/>
        </w:rPr>
        <w:t xml:space="preserve"> Centuries B.C.) and Its Importance for the Ancient China</w:t>
      </w:r>
      <w:r>
        <w:rPr>
          <w:rStyle w:val="Acopre"/>
          <w:rFonts w:eastAsia="MingLiU;細明體" w:cs="Garamond" w:ascii="Garamond" w:hAnsi="Garamond"/>
          <w:lang w:val="en-US"/>
        </w:rPr>
        <w:t>. Moscow</w:t>
      </w:r>
      <w:r>
        <w:rPr>
          <w:rStyle w:val="Acopre"/>
          <w:rFonts w:eastAsia="MingLiU;細明體" w:cs="Garamond" w:ascii="Garamond" w:hAnsi="Garamond"/>
        </w:rPr>
        <w:t xml:space="preserve">, 2015 </w:t>
      </w:r>
      <w:r>
        <w:rPr>
          <w:rFonts w:eastAsia="MingLiU;細明體" w:cs="Garamond" w:ascii="Garamond" w:hAnsi="Garamond"/>
        </w:rPr>
        <w:t>(</w:t>
      </w:r>
      <w:r>
        <w:rPr>
          <w:rFonts w:eastAsia="MingLiU;細明體" w:cs="Garamond" w:ascii="Garamond" w:hAnsi="Garamond"/>
          <w:lang w:val="en-US"/>
        </w:rPr>
        <w:t>in</w:t>
      </w:r>
      <w:r>
        <w:rPr>
          <w:rFonts w:eastAsia="MingLiU;細明體" w:cs="Garamond" w:ascii="Garamond" w:hAnsi="Garamond"/>
        </w:rPr>
        <w:t xml:space="preserve"> </w:t>
      </w:r>
      <w:r>
        <w:rPr>
          <w:rFonts w:eastAsia="MingLiU;細明體" w:cs="Garamond" w:ascii="Garamond" w:hAnsi="Garamond"/>
          <w:lang w:val="en-US"/>
        </w:rPr>
        <w:t>Russian</w:t>
      </w:r>
      <w:r>
        <w:rPr>
          <w:rFonts w:eastAsia="MingLiU;細明體" w:cs="Garamond" w:ascii="Garamond" w:hAnsi="Garamond"/>
        </w:rPr>
        <w:t>)</w:t>
      </w:r>
      <w:r>
        <w:rPr>
          <w:rStyle w:val="Acopre"/>
          <w:rFonts w:eastAsia="MingLiU;細明體" w:cs="Garamond" w:ascii="Garamond" w:hAnsi="Garamond"/>
        </w:rPr>
        <w:t>].</w:t>
      </w:r>
    </w:p>
    <w:p>
      <w:pPr>
        <w:pStyle w:val="NoSpacing"/>
        <w:tabs>
          <w:tab w:val="clear" w:pos="709"/>
          <w:tab w:val="left" w:pos="720" w:leader="none"/>
        </w:tabs>
        <w:ind w:start="720" w:end="-31" w:hanging="720"/>
        <w:jc w:val="both"/>
        <w:rPr>
          <w:rStyle w:val="Acopre"/>
          <w:rFonts w:ascii="Garamond" w:hAnsi="Garamond" w:eastAsia="MingLiU;細明體" w:cs="Garamond"/>
        </w:rPr>
      </w:pPr>
      <w:r>
        <w:rPr>
          <w:rStyle w:val="Style18"/>
          <w:rFonts w:eastAsia="MingLiU;細明體" w:cs="Garamond" w:ascii="Garamond" w:hAnsi="Garamond"/>
          <w:i w:val="false"/>
        </w:rPr>
        <w:t>Кузнецова</w:t>
      </w:r>
      <w:r>
        <w:rPr>
          <w:rStyle w:val="Acopre"/>
          <w:rFonts w:eastAsia="MingLiU;細明體" w:cs="Garamond" w:ascii="Garamond" w:hAnsi="Garamond"/>
          <w:i/>
        </w:rPr>
        <w:t>-</w:t>
      </w:r>
      <w:r>
        <w:rPr>
          <w:rStyle w:val="Style18"/>
          <w:rFonts w:eastAsia="MingLiU;細明體" w:cs="Garamond" w:ascii="Garamond" w:hAnsi="Garamond"/>
          <w:i w:val="false"/>
        </w:rPr>
        <w:t>Фетисова М. Е.</w:t>
      </w:r>
      <w:r>
        <w:rPr>
          <w:rStyle w:val="Acopre"/>
          <w:rFonts w:eastAsia="MingLiU;細明體" w:cs="Garamond" w:ascii="Garamond" w:hAnsi="Garamond"/>
        </w:rPr>
        <w:t xml:space="preserve"> </w:t>
      </w:r>
      <w:r>
        <w:rPr>
          <w:rFonts w:eastAsia="MingLiU;細明體" w:cs="Garamond" w:ascii="Garamond" w:hAnsi="Garamond"/>
        </w:rPr>
        <w:t>Эпиграфика Великого города Шан: распределение находок гадательных костей</w:t>
      </w:r>
      <w:r>
        <w:rPr>
          <w:rFonts w:eastAsia="MingLiU;細明體" w:cs="Garamond" w:ascii="Garamond" w:hAnsi="Garamond"/>
          <w:i/>
        </w:rPr>
        <w:t>. Общество</w:t>
      </w:r>
      <w:r>
        <w:rPr>
          <w:rFonts w:eastAsia="MingLiU;細明體" w:cs="Garamond" w:ascii="Garamond" w:hAnsi="Garamond"/>
          <w:i/>
          <w:lang w:val="en-US"/>
        </w:rPr>
        <w:t xml:space="preserve"> </w:t>
      </w:r>
      <w:r>
        <w:rPr>
          <w:rFonts w:eastAsia="MingLiU;細明體" w:cs="Garamond" w:ascii="Garamond" w:hAnsi="Garamond"/>
          <w:i/>
        </w:rPr>
        <w:t>и</w:t>
      </w:r>
      <w:r>
        <w:rPr>
          <w:rFonts w:eastAsia="MingLiU;細明體" w:cs="Garamond" w:ascii="Garamond" w:hAnsi="Garamond"/>
          <w:i/>
          <w:lang w:val="en-US"/>
        </w:rPr>
        <w:t xml:space="preserve"> </w:t>
      </w:r>
      <w:r>
        <w:rPr>
          <w:rFonts w:eastAsia="MingLiU;細明體" w:cs="Garamond" w:ascii="Garamond" w:hAnsi="Garamond"/>
          <w:i/>
        </w:rPr>
        <w:t>государство</w:t>
      </w:r>
      <w:r>
        <w:rPr>
          <w:rFonts w:eastAsia="MingLiU;細明體" w:cs="Garamond" w:ascii="Garamond" w:hAnsi="Garamond"/>
          <w:i/>
          <w:lang w:val="en-US"/>
        </w:rPr>
        <w:t xml:space="preserve"> </w:t>
      </w:r>
      <w:r>
        <w:rPr>
          <w:rFonts w:eastAsia="MingLiU;細明體" w:cs="Garamond" w:ascii="Garamond" w:hAnsi="Garamond"/>
          <w:i/>
        </w:rPr>
        <w:t>в</w:t>
      </w:r>
      <w:r>
        <w:rPr>
          <w:rFonts w:eastAsia="MingLiU;細明體" w:cs="Garamond" w:ascii="Garamond" w:hAnsi="Garamond"/>
          <w:i/>
          <w:lang w:val="en-US"/>
        </w:rPr>
        <w:t xml:space="preserve"> </w:t>
      </w:r>
      <w:r>
        <w:rPr>
          <w:rFonts w:eastAsia="MingLiU;細明體" w:cs="Garamond" w:ascii="Garamond" w:hAnsi="Garamond"/>
          <w:i/>
        </w:rPr>
        <w:t>Китае</w:t>
      </w:r>
      <w:r>
        <w:rPr>
          <w:rFonts w:eastAsia="MingLiU;細明體" w:cs="Garamond" w:ascii="Garamond" w:hAnsi="Garamond"/>
          <w:i/>
          <w:lang w:val="en-US"/>
        </w:rPr>
        <w:t>.</w:t>
      </w:r>
      <w:r>
        <w:rPr>
          <w:rFonts w:eastAsia="MingLiU;細明體" w:cs="Garamond" w:ascii="Garamond" w:hAnsi="Garamond"/>
          <w:lang w:val="en-US"/>
        </w:rPr>
        <w:t xml:space="preserve"> 2013. </w:t>
      </w:r>
      <w:r>
        <w:rPr>
          <w:rFonts w:eastAsia="MingLiU;細明體" w:cs="Garamond" w:ascii="Garamond" w:hAnsi="Garamond"/>
        </w:rPr>
        <w:t>Т</w:t>
      </w:r>
      <w:r>
        <w:rPr>
          <w:rFonts w:eastAsia="MingLiU;細明體" w:cs="Garamond" w:ascii="Garamond" w:hAnsi="Garamond"/>
          <w:lang w:val="en-US"/>
        </w:rPr>
        <w:t xml:space="preserve">. XLIII. </w:t>
      </w:r>
      <w:r>
        <w:rPr>
          <w:rFonts w:eastAsia="MingLiU;細明體" w:cs="Garamond" w:ascii="Garamond" w:hAnsi="Garamond"/>
        </w:rPr>
        <w:t>Ч</w:t>
      </w:r>
      <w:r>
        <w:rPr>
          <w:rFonts w:eastAsia="MingLiU;細明體" w:cs="Garamond" w:ascii="Garamond" w:hAnsi="Garamond"/>
          <w:lang w:val="en-US"/>
        </w:rPr>
        <w:t xml:space="preserve">. 2. </w:t>
      </w:r>
      <w:r>
        <w:rPr>
          <w:rFonts w:eastAsia="MingLiU;細明體" w:cs="Garamond" w:ascii="Garamond" w:hAnsi="Garamond"/>
        </w:rPr>
        <w:t>С</w:t>
      </w:r>
      <w:r>
        <w:rPr>
          <w:rFonts w:eastAsia="MingLiU;細明體" w:cs="Garamond" w:ascii="Garamond" w:hAnsi="Garamond"/>
          <w:lang w:val="en-US"/>
        </w:rPr>
        <w:t xml:space="preserve">. 6–15 </w:t>
      </w:r>
      <w:r>
        <w:rPr>
          <w:rStyle w:val="Acopre"/>
          <w:rFonts w:eastAsia="MingLiU;細明體" w:cs="Garamond" w:ascii="Garamond" w:hAnsi="Garamond"/>
          <w:lang w:val="en-US"/>
        </w:rPr>
        <w:t>[Kuznetsova–Fetisova M. </w:t>
      </w:r>
      <w:r>
        <w:rPr>
          <w:rStyle w:val="Acopre"/>
          <w:rFonts w:eastAsia="MingLiU;細明體" w:cs="Garamond" w:ascii="Garamond" w:hAnsi="Garamond"/>
        </w:rPr>
        <w:t>Е</w:t>
      </w:r>
      <w:r>
        <w:rPr>
          <w:rStyle w:val="Acopre"/>
          <w:rFonts w:eastAsia="MingLiU;細明體" w:cs="Garamond" w:ascii="Garamond" w:hAnsi="Garamond"/>
          <w:lang w:val="en-US"/>
        </w:rPr>
        <w:t xml:space="preserve">. Great Settlement Shang's Inscriptions Location and Distribution. </w:t>
      </w:r>
      <w:r>
        <w:rPr>
          <w:rStyle w:val="Acopre"/>
          <w:rFonts w:eastAsia="MingLiU;細明體" w:cs="Garamond" w:ascii="Garamond" w:hAnsi="Garamond"/>
          <w:i/>
          <w:lang w:val="en-US"/>
        </w:rPr>
        <w:t>State and Society in China</w:t>
      </w:r>
      <w:r>
        <w:rPr>
          <w:rStyle w:val="Acopre"/>
          <w:rFonts w:eastAsia="MingLiU;細明體" w:cs="Garamond" w:ascii="Garamond" w:hAnsi="Garamond"/>
          <w:lang w:val="en-US"/>
        </w:rPr>
        <w:t>. 2013. Vol. </w:t>
      </w:r>
      <w:r>
        <w:rPr>
          <w:rFonts w:eastAsia="MingLiU;細明體" w:cs="Garamond" w:ascii="Garamond" w:hAnsi="Garamond"/>
          <w:lang w:val="en-US"/>
        </w:rPr>
        <w:t>XLIII.2</w:t>
      </w:r>
      <w:r>
        <w:rPr>
          <w:rStyle w:val="Acopre"/>
          <w:rFonts w:eastAsia="MingLiU;細明體" w:cs="Garamond" w:ascii="Garamond" w:hAnsi="Garamond"/>
          <w:lang w:val="en-US"/>
        </w:rPr>
        <w:t xml:space="preserve">. Pp. 6–15 </w:t>
      </w:r>
      <w:r>
        <w:rPr>
          <w:rFonts w:eastAsia="MingLiU;細明體" w:cs="Garamond" w:ascii="Garamond" w:hAnsi="Garamond"/>
          <w:lang w:val="en-US"/>
        </w:rPr>
        <w:t>(in Russian)</w:t>
      </w:r>
      <w:r>
        <w:rPr>
          <w:rStyle w:val="Acopre"/>
          <w:rFonts w:eastAsia="MingLiU;細明體" w:cs="Garamond" w:ascii="Garamond" w:hAnsi="Garamond"/>
          <w:lang w:val="en-US"/>
        </w:rPr>
        <w:t>].</w:t>
      </w:r>
    </w:p>
    <w:p>
      <w:pPr>
        <w:pStyle w:val="NoSpacing"/>
        <w:tabs>
          <w:tab w:val="clear" w:pos="709"/>
          <w:tab w:val="left" w:pos="720" w:leader="none"/>
        </w:tabs>
        <w:ind w:start="720" w:end="-31" w:hanging="720"/>
        <w:jc w:val="both"/>
        <w:rPr/>
      </w:pPr>
      <w:r>
        <w:rPr>
          <w:rStyle w:val="Citation"/>
          <w:rFonts w:eastAsia="MingLiU;細明體" w:cs="Garamond" w:ascii="Garamond" w:hAnsi="Garamond"/>
          <w:iCs/>
        </w:rPr>
        <w:t>Куликов Д. Е</w:t>
      </w:r>
      <w:r>
        <w:rPr>
          <w:rStyle w:val="Citation"/>
          <w:rFonts w:eastAsia="MingLiU;細明體" w:cs="Garamond" w:ascii="Garamond" w:hAnsi="Garamond"/>
          <w:i/>
          <w:iCs/>
        </w:rPr>
        <w:t>.</w:t>
      </w:r>
      <w:r>
        <w:rPr>
          <w:rStyle w:val="Citation"/>
          <w:rFonts w:eastAsia="MingLiU;細明體" w:cs="Garamond" w:ascii="Garamond" w:hAnsi="Garamond"/>
        </w:rPr>
        <w:t xml:space="preserve"> Дун Цзобинь и история открытия иньских гадательных надписей (обзор сведений из двух изданий </w:t>
      </w:r>
      <w:r>
        <w:rPr>
          <w:rStyle w:val="Citation"/>
          <w:rFonts w:eastAsia="MingLiU;細明體" w:cs="Garamond" w:ascii="Garamond" w:hAnsi="Garamond"/>
          <w:iCs/>
        </w:rPr>
        <w:t>Цзягу няньбяо</w:t>
      </w:r>
      <w:r>
        <w:rPr>
          <w:rStyle w:val="Citation"/>
          <w:rFonts w:eastAsia="MingLiU;細明體" w:cs="Garamond" w:ascii="Garamond" w:hAnsi="Garamond"/>
        </w:rPr>
        <w:t xml:space="preserve"> и их источников). </w:t>
      </w:r>
      <w:r>
        <w:rPr>
          <w:rStyle w:val="Citation"/>
          <w:rFonts w:eastAsia="MingLiU;細明體" w:cs="Garamond" w:ascii="Garamond" w:hAnsi="Garamond"/>
          <w:i/>
        </w:rPr>
        <w:t>Общество и государство в Китае</w:t>
      </w:r>
      <w:r>
        <w:rPr>
          <w:rStyle w:val="Citation"/>
          <w:rFonts w:eastAsia="MingLiU;細明體" w:cs="Garamond" w:ascii="Garamond" w:hAnsi="Garamond"/>
        </w:rPr>
        <w:t>. 2016. Т.</w:t>
      </w:r>
      <w:r>
        <w:rPr>
          <w:rStyle w:val="Citation"/>
          <w:rFonts w:eastAsia="MingLiU;細明體" w:cs="Garamond" w:ascii="Garamond" w:hAnsi="Garamond"/>
          <w:lang w:val="en-US"/>
        </w:rPr>
        <w:t> XLVI</w:t>
      </w:r>
      <w:r>
        <w:rPr>
          <w:rStyle w:val="Citation"/>
          <w:rFonts w:eastAsia="MingLiU;細明體" w:cs="Garamond" w:ascii="Garamond" w:hAnsi="Garamond"/>
        </w:rPr>
        <w:t>. Ч.</w:t>
      </w:r>
      <w:r>
        <w:rPr>
          <w:rStyle w:val="Citation"/>
          <w:rFonts w:eastAsia="MingLiU;細明體" w:cs="Garamond" w:ascii="Garamond" w:hAnsi="Garamond"/>
          <w:lang w:val="en-US"/>
        </w:rPr>
        <w:t> </w:t>
      </w:r>
      <w:r>
        <w:rPr>
          <w:rStyle w:val="Citation"/>
          <w:rFonts w:eastAsia="MingLiU;細明體" w:cs="Garamond" w:ascii="Garamond" w:hAnsi="Garamond"/>
        </w:rPr>
        <w:t>2. С.</w:t>
      </w:r>
      <w:r>
        <w:rPr>
          <w:rStyle w:val="Citation"/>
          <w:rFonts w:eastAsia="MingLiU;細明體" w:cs="Garamond" w:ascii="Garamond" w:hAnsi="Garamond"/>
          <w:lang w:val="en-US"/>
        </w:rPr>
        <w:t> </w:t>
      </w:r>
      <w:r>
        <w:rPr>
          <w:rStyle w:val="Citation"/>
          <w:rFonts w:eastAsia="MingLiU;細明體" w:cs="Garamond" w:ascii="Garamond" w:hAnsi="Garamond"/>
        </w:rPr>
        <w:t>25—58 [</w:t>
      </w:r>
      <w:r>
        <w:rPr>
          <w:rStyle w:val="Citation"/>
          <w:rFonts w:eastAsia="MingLiU;細明體" w:cs="Garamond" w:ascii="Garamond" w:hAnsi="Garamond"/>
          <w:lang w:val="en-US"/>
        </w:rPr>
        <w:t>Kulikov D</w:t>
      </w:r>
      <w:r>
        <w:rPr>
          <w:rStyle w:val="Citation"/>
          <w:rFonts w:eastAsia="MingLiU;細明體" w:cs="Garamond" w:ascii="Garamond" w:hAnsi="Garamond"/>
        </w:rPr>
        <w:t>.</w:t>
      </w:r>
      <w:r>
        <w:rPr>
          <w:rStyle w:val="Citation"/>
          <w:rFonts w:eastAsia="MingLiU;細明體" w:cs="Garamond" w:ascii="Garamond" w:hAnsi="Garamond"/>
          <w:lang w:val="en-US"/>
        </w:rPr>
        <w:t> E</w:t>
      </w:r>
      <w:r>
        <w:rPr>
          <w:rStyle w:val="Citation"/>
          <w:rFonts w:eastAsia="MingLiU;細明體" w:cs="Garamond" w:ascii="Garamond" w:hAnsi="Garamond"/>
        </w:rPr>
        <w:t xml:space="preserve">. </w:t>
      </w:r>
      <w:r>
        <w:rPr>
          <w:rStyle w:val="Citation"/>
          <w:rFonts w:eastAsia="MingLiU;細明體" w:cs="Garamond" w:ascii="Garamond" w:hAnsi="Garamond"/>
          <w:lang w:val="en-US"/>
        </w:rPr>
        <w:t>Dong</w:t>
      </w:r>
      <w:r>
        <w:rPr>
          <w:rStyle w:val="Citation"/>
          <w:rFonts w:eastAsia="MingLiU;細明體" w:cs="Garamond" w:ascii="Garamond" w:hAnsi="Garamond"/>
        </w:rPr>
        <w:t xml:space="preserve"> </w:t>
      </w:r>
      <w:r>
        <w:rPr>
          <w:rStyle w:val="Citation"/>
          <w:rFonts w:eastAsia="MingLiU;細明體" w:cs="Garamond" w:ascii="Garamond" w:hAnsi="Garamond"/>
          <w:lang w:val="en-US"/>
        </w:rPr>
        <w:t>Zuobin</w:t>
      </w:r>
      <w:r>
        <w:rPr>
          <w:rStyle w:val="Citation"/>
          <w:rFonts w:eastAsia="MingLiU;細明體" w:cs="Garamond" w:ascii="Garamond" w:hAnsi="Garamond"/>
        </w:rPr>
        <w:t xml:space="preserve"> </w:t>
      </w:r>
      <w:r>
        <w:rPr>
          <w:rStyle w:val="Citation"/>
          <w:rFonts w:eastAsia="MingLiU;細明體" w:cs="Garamond" w:ascii="Garamond" w:hAnsi="Garamond"/>
          <w:lang w:val="en-US"/>
        </w:rPr>
        <w:t>and</w:t>
      </w:r>
      <w:r>
        <w:rPr>
          <w:rStyle w:val="Citation"/>
          <w:rFonts w:eastAsia="MingLiU;細明體" w:cs="Garamond" w:ascii="Garamond" w:hAnsi="Garamond"/>
        </w:rPr>
        <w:t xml:space="preserve"> </w:t>
      </w:r>
      <w:r>
        <w:rPr>
          <w:rStyle w:val="Citation"/>
          <w:rFonts w:eastAsia="MingLiU;細明體" w:cs="Garamond" w:ascii="Garamond" w:hAnsi="Garamond"/>
          <w:lang w:val="en-US"/>
        </w:rPr>
        <w:t>the</w:t>
      </w:r>
      <w:r>
        <w:rPr>
          <w:rStyle w:val="Citation"/>
          <w:rFonts w:eastAsia="MingLiU;細明體" w:cs="Garamond" w:ascii="Garamond" w:hAnsi="Garamond"/>
        </w:rPr>
        <w:t xml:space="preserve"> </w:t>
      </w:r>
      <w:r>
        <w:rPr>
          <w:rStyle w:val="Citation"/>
          <w:rFonts w:eastAsia="MingLiU;細明體" w:cs="Garamond" w:ascii="Garamond" w:hAnsi="Garamond"/>
          <w:lang w:val="en-US"/>
        </w:rPr>
        <w:t>Discovery</w:t>
      </w:r>
      <w:r>
        <w:rPr>
          <w:rStyle w:val="Citation"/>
          <w:rFonts w:eastAsia="MingLiU;細明體" w:cs="Garamond" w:ascii="Garamond" w:hAnsi="Garamond"/>
        </w:rPr>
        <w:t xml:space="preserve"> </w:t>
      </w:r>
      <w:r>
        <w:rPr>
          <w:rStyle w:val="Citation"/>
          <w:rFonts w:eastAsia="MingLiU;細明體" w:cs="Garamond" w:ascii="Garamond" w:hAnsi="Garamond"/>
          <w:lang w:val="en-US"/>
        </w:rPr>
        <w:t>of</w:t>
      </w:r>
      <w:r>
        <w:rPr>
          <w:rStyle w:val="Citation"/>
          <w:rFonts w:eastAsia="MingLiU;細明體" w:cs="Garamond" w:ascii="Garamond" w:hAnsi="Garamond"/>
        </w:rPr>
        <w:t xml:space="preserve"> </w:t>
      </w:r>
      <w:r>
        <w:rPr>
          <w:rStyle w:val="Citation"/>
          <w:rFonts w:eastAsia="MingLiU;細明體" w:cs="Garamond" w:ascii="Garamond" w:hAnsi="Garamond"/>
          <w:lang w:val="en-US"/>
        </w:rPr>
        <w:t>Yin</w:t>
      </w:r>
      <w:r>
        <w:rPr>
          <w:rStyle w:val="Citation"/>
          <w:rFonts w:eastAsia="MingLiU;細明體" w:cs="Garamond" w:ascii="Garamond" w:hAnsi="Garamond"/>
        </w:rPr>
        <w:t xml:space="preserve"> </w:t>
      </w:r>
      <w:r>
        <w:rPr>
          <w:rStyle w:val="Citation"/>
          <w:rFonts w:eastAsia="MingLiU;細明體" w:cs="Garamond" w:ascii="Garamond" w:hAnsi="Garamond"/>
          <w:lang w:val="en-US"/>
        </w:rPr>
        <w:t>Oracle</w:t>
      </w:r>
      <w:r>
        <w:rPr>
          <w:rStyle w:val="Citation"/>
          <w:rFonts w:eastAsia="MingLiU;細明體" w:cs="Garamond" w:ascii="Garamond" w:hAnsi="Garamond"/>
        </w:rPr>
        <w:t xml:space="preserve"> </w:t>
      </w:r>
      <w:r>
        <w:rPr>
          <w:rStyle w:val="Citation"/>
          <w:rFonts w:eastAsia="MingLiU;細明體" w:cs="Garamond" w:ascii="Garamond" w:hAnsi="Garamond"/>
          <w:lang w:val="en-US"/>
        </w:rPr>
        <w:t>Bone</w:t>
      </w:r>
      <w:r>
        <w:rPr>
          <w:rStyle w:val="Citation"/>
          <w:rFonts w:eastAsia="MingLiU;細明體" w:cs="Garamond" w:ascii="Garamond" w:hAnsi="Garamond"/>
        </w:rPr>
        <w:t xml:space="preserve"> </w:t>
      </w:r>
      <w:r>
        <w:rPr>
          <w:rStyle w:val="Citation"/>
          <w:rFonts w:eastAsia="MingLiU;細明體" w:cs="Garamond" w:ascii="Garamond" w:hAnsi="Garamond"/>
          <w:lang w:val="en-US"/>
        </w:rPr>
        <w:t>Inscriptions</w:t>
      </w:r>
      <w:r>
        <w:rPr>
          <w:rStyle w:val="Citation"/>
          <w:rFonts w:eastAsia="MingLiU;細明體" w:cs="Garamond" w:ascii="Garamond" w:hAnsi="Garamond"/>
        </w:rPr>
        <w:t xml:space="preserve">. </w:t>
      </w:r>
      <w:r>
        <w:rPr>
          <w:rStyle w:val="Acopre"/>
          <w:rFonts w:eastAsia="MingLiU;細明體" w:cs="Garamond" w:ascii="Garamond" w:hAnsi="Garamond"/>
          <w:i/>
          <w:lang w:val="en-US"/>
        </w:rPr>
        <w:t>State and Society in China.</w:t>
      </w:r>
      <w:r>
        <w:rPr>
          <w:rStyle w:val="Acopre"/>
          <w:rFonts w:eastAsia="MingLiU;細明體" w:cs="Garamond" w:ascii="Garamond" w:hAnsi="Garamond"/>
          <w:lang w:val="en-US"/>
        </w:rPr>
        <w:t xml:space="preserve"> 2016. Vol. </w:t>
      </w:r>
      <w:r>
        <w:rPr>
          <w:rStyle w:val="Citation"/>
          <w:rFonts w:eastAsia="MingLiU;細明體" w:cs="Garamond" w:ascii="Garamond" w:hAnsi="Garamond"/>
          <w:lang w:val="en-US"/>
        </w:rPr>
        <w:t>XLVI</w:t>
      </w:r>
      <w:r>
        <w:rPr>
          <w:rFonts w:eastAsia="MingLiU;細明體" w:cs="Garamond" w:ascii="Garamond" w:hAnsi="Garamond"/>
          <w:lang w:val="en-US"/>
        </w:rPr>
        <w:t>.2</w:t>
      </w:r>
      <w:r>
        <w:rPr>
          <w:rStyle w:val="Acopre"/>
          <w:rFonts w:eastAsia="MingLiU;細明體" w:cs="Garamond" w:ascii="Garamond" w:hAnsi="Garamond"/>
          <w:lang w:val="en-US"/>
        </w:rPr>
        <w:t xml:space="preserve">. Pp. 25–58 </w:t>
      </w:r>
      <w:r>
        <w:rPr>
          <w:rFonts w:eastAsia="MingLiU;細明體" w:cs="Garamond" w:ascii="Garamond" w:hAnsi="Garamond"/>
          <w:lang w:val="en-US"/>
        </w:rPr>
        <w:t>(in Russian)</w:t>
      </w:r>
      <w:r>
        <w:rPr>
          <w:rStyle w:val="Acopre"/>
          <w:rFonts w:eastAsia="MingLiU;細明體" w:cs="Garamond" w:ascii="Garamond" w:hAnsi="Garamond"/>
          <w:lang w:val="en-US"/>
        </w:rPr>
        <w:t>].</w:t>
      </w:r>
      <w:r>
        <w:rPr>
          <w:rFonts w:eastAsia="MingLiU;細明體" w:cs="Garamond" w:ascii="Garamond" w:hAnsi="Garamond"/>
          <w:lang w:val="en-US"/>
        </w:rPr>
        <w:t xml:space="preserve"> </w:t>
      </w:r>
    </w:p>
    <w:p>
      <w:pPr>
        <w:pStyle w:val="NoSpacing"/>
        <w:tabs>
          <w:tab w:val="clear" w:pos="709"/>
          <w:tab w:val="left" w:pos="720" w:leader="none"/>
        </w:tabs>
        <w:ind w:start="720" w:end="-31" w:hanging="720"/>
        <w:jc w:val="both"/>
        <w:rPr/>
      </w:pPr>
      <w:r>
        <w:rPr>
          <w:rFonts w:eastAsia="MingLiU;細明體" w:cs="Garamond" w:ascii="Garamond" w:hAnsi="Garamond"/>
        </w:rPr>
        <w:t xml:space="preserve">Сун Цзян. </w:t>
      </w:r>
      <w:r>
        <w:rPr>
          <w:rFonts w:eastAsia="MingLiU;細明體" w:cs="Garamond" w:ascii="Garamond" w:hAnsi="Garamond"/>
          <w:i/>
        </w:rPr>
        <w:t>Преодолевая сомнения и проясняя прошлое</w:t>
      </w:r>
      <w:r>
        <w:rPr>
          <w:rFonts w:eastAsia="MingLiU;細明體" w:cs="Garamond" w:ascii="Garamond" w:hAnsi="Garamond"/>
          <w:i/>
          <w:lang w:val="en-US"/>
        </w:rPr>
        <w:t> </w:t>
      </w:r>
      <w:r>
        <w:rPr>
          <w:rFonts w:eastAsia="MingLiU;細明體" w:cs="Garamond" w:ascii="Garamond" w:hAnsi="Garamond"/>
          <w:i/>
        </w:rPr>
        <w:t>— приветствуем проект «Хронология Трех династий</w:t>
      </w:r>
      <w:r>
        <w:rPr>
          <w:rFonts w:eastAsia="MingLiU;細明體" w:cs="Garamond" w:ascii="Garamond" w:hAnsi="Garamond"/>
          <w:i/>
          <w:lang w:val="en-US"/>
        </w:rPr>
        <w:t> </w:t>
      </w:r>
      <w:r>
        <w:rPr>
          <w:rFonts w:eastAsia="MingLiU;細明體" w:cs="Garamond" w:ascii="Garamond" w:hAnsi="Garamond"/>
          <w:i/>
        </w:rPr>
        <w:t>— Ся, Шан и Чжоу».</w:t>
      </w:r>
      <w:r>
        <w:rPr>
          <w:rFonts w:eastAsia="MingLiU;細明體" w:cs="Garamond" w:ascii="Garamond" w:hAnsi="Garamond"/>
        </w:rPr>
        <w:t xml:space="preserve"> Шанхай</w:t>
      </w:r>
      <w:r>
        <w:rPr>
          <w:rFonts w:eastAsia="MingLiU;細明體" w:cs="Garamond" w:ascii="Garamond" w:hAnsi="Garamond"/>
          <w:lang w:val="en-US"/>
        </w:rPr>
        <w:t>, 1999 [</w:t>
      </w:r>
      <w:r>
        <w:rPr>
          <w:rFonts w:ascii="Garamond" w:hAnsi="Garamond" w:cs="Times New Roman" w:eastAsia="MingLiU;細明體"/>
        </w:rPr>
        <w:t>宋健</w:t>
      </w:r>
      <w:r>
        <w:rPr>
          <w:rFonts w:ascii="Garamond" w:hAnsi="Garamond" w:cs="Garamond" w:eastAsia="Garamond"/>
          <w:lang w:val="en-US"/>
        </w:rPr>
        <w:t xml:space="preserve"> </w:t>
      </w:r>
      <w:r>
        <w:rPr>
          <w:rFonts w:eastAsia="MingLiU;細明體" w:cs="Garamond" w:ascii="Garamond" w:hAnsi="Garamond"/>
          <w:lang w:val="en-US"/>
        </w:rPr>
        <w:t xml:space="preserve">(Song Jiang). </w:t>
      </w:r>
      <w:r>
        <w:rPr>
          <w:rFonts w:ascii="Garamond" w:hAnsi="Garamond" w:cs="Times New Roman" w:eastAsia="MingLiU;細明體"/>
          <w:iCs/>
        </w:rPr>
        <w:t>超越疑古走出迷茫</w:t>
      </w:r>
      <w:r>
        <w:rPr>
          <w:rFonts w:ascii="Garamond" w:hAnsi="Garamond" w:cs="Garamond" w:eastAsia="MingLiU;細明體"/>
          <w:iCs/>
          <w:lang w:val="en-US"/>
        </w:rPr>
        <w:t> —</w:t>
      </w:r>
      <w:r>
        <w:rPr>
          <w:rFonts w:ascii="Garamond" w:hAnsi="Garamond" w:cs="Garamond" w:eastAsia="Garamond"/>
          <w:iCs/>
          <w:lang w:val="en-US"/>
        </w:rPr>
        <w:t xml:space="preserve"> </w:t>
      </w:r>
      <w:r>
        <w:rPr>
          <w:rFonts w:ascii="Garamond" w:hAnsi="Garamond" w:cs="Times New Roman" w:eastAsia="MingLiU;細明體"/>
          <w:iCs/>
        </w:rPr>
        <w:t>呼</w:t>
      </w:r>
      <w:r>
        <w:rPr>
          <w:rFonts w:ascii="Garamond" w:hAnsi="Garamond" w:cs="Times New Roman"/>
          <w:iCs/>
        </w:rPr>
        <w:t>唤</w:t>
      </w:r>
      <w:r>
        <w:rPr>
          <w:rFonts w:ascii="Garamond" w:hAnsi="Garamond" w:cs="Times New Roman" w:eastAsia="MingLiU;細明體"/>
          <w:iCs/>
        </w:rPr>
        <w:t>夏商周断代工程</w:t>
      </w:r>
      <w:r>
        <w:rPr>
          <w:rFonts w:eastAsia="MingLiU;細明體" w:cs="Garamond" w:ascii="Garamond" w:hAnsi="Garamond"/>
          <w:lang w:val="en-US"/>
        </w:rPr>
        <w:t xml:space="preserve">. </w:t>
      </w:r>
      <w:r>
        <w:rPr>
          <w:rFonts w:eastAsia="MingLiU;細明體" w:cs="Garamond" w:ascii="Garamond" w:hAnsi="Garamond"/>
          <w:i/>
          <w:lang w:val="en-US"/>
        </w:rPr>
        <w:t>Overcoming Doubts and Clarifying the Past — Welcoming the Xia–Shang–Zhou Chronology Project</w:t>
      </w:r>
      <w:r>
        <w:rPr>
          <w:rFonts w:eastAsia="MingLiU;細明體" w:cs="Garamond" w:ascii="Garamond" w:hAnsi="Garamond"/>
          <w:lang w:val="en-US"/>
        </w:rPr>
        <w:t>. Shanghai</w:t>
      </w:r>
      <w:r>
        <w:rPr>
          <w:rFonts w:eastAsia="MingLiU;細明體" w:cs="Garamond" w:ascii="Garamond" w:hAnsi="Garamond"/>
        </w:rPr>
        <w:t>, 1999 (</w:t>
      </w:r>
      <w:r>
        <w:rPr>
          <w:rFonts w:eastAsia="MingLiU;細明體" w:cs="Garamond" w:ascii="Garamond" w:hAnsi="Garamond"/>
          <w:lang w:val="en-US"/>
        </w:rPr>
        <w:t>in</w:t>
      </w:r>
      <w:r>
        <w:rPr>
          <w:rFonts w:eastAsia="MingLiU;細明體" w:cs="Garamond" w:ascii="Garamond" w:hAnsi="Garamond"/>
        </w:rPr>
        <w:t xml:space="preserve"> </w:t>
      </w:r>
      <w:r>
        <w:rPr>
          <w:rFonts w:eastAsia="MingLiU;細明體" w:cs="Garamond" w:ascii="Garamond" w:hAnsi="Garamond"/>
          <w:lang w:val="en-US"/>
        </w:rPr>
        <w:t>Chinese</w:t>
      </w:r>
      <w:r>
        <w:rPr>
          <w:rFonts w:eastAsia="MingLiU;細明體" w:cs="Garamond" w:ascii="Garamond" w:hAnsi="Garamond"/>
        </w:rPr>
        <w:t xml:space="preserve">)]. </w:t>
      </w:r>
    </w:p>
    <w:p>
      <w:pPr>
        <w:pStyle w:val="NoSpacing"/>
        <w:tabs>
          <w:tab w:val="clear" w:pos="709"/>
          <w:tab w:val="left" w:pos="720" w:leader="none"/>
        </w:tabs>
        <w:ind w:start="720" w:end="-31" w:hanging="720"/>
        <w:jc w:val="both"/>
        <w:rPr/>
      </w:pPr>
      <w:r>
        <w:rPr>
          <w:rFonts w:eastAsia="MingLiU;細明體" w:cs="Garamond" w:ascii="Garamond" w:hAnsi="Garamond"/>
          <w:iCs/>
        </w:rPr>
        <w:t>Сыма Цянь</w:t>
      </w:r>
      <w:r>
        <w:rPr>
          <w:rFonts w:eastAsia="MingLiU;細明體" w:cs="Garamond" w:ascii="Garamond" w:hAnsi="Garamond"/>
        </w:rPr>
        <w:t xml:space="preserve">. </w:t>
      </w:r>
      <w:r>
        <w:rPr>
          <w:rFonts w:eastAsia="MingLiU;細明體" w:cs="Garamond" w:ascii="Garamond" w:hAnsi="Garamond"/>
          <w:i/>
        </w:rPr>
        <w:t>Исторические записки</w:t>
      </w:r>
      <w:r>
        <w:rPr>
          <w:rFonts w:eastAsia="MingLiU;細明體" w:cs="Garamond" w:ascii="Garamond" w:hAnsi="Garamond"/>
        </w:rPr>
        <w:t xml:space="preserve"> («Ши цзи»). Пер. с кит. Р. В. Вяткина. Т.</w:t>
      </w:r>
      <w:r>
        <w:rPr>
          <w:rFonts w:eastAsia="MingLiU;細明體" w:cs="Garamond" w:ascii="Garamond" w:hAnsi="Garamond"/>
          <w:lang w:val="en-US"/>
        </w:rPr>
        <w:t> </w:t>
      </w:r>
      <w:r>
        <w:rPr>
          <w:rFonts w:eastAsia="MingLiU;細明體" w:cs="Garamond" w:ascii="Garamond" w:hAnsi="Garamond"/>
        </w:rPr>
        <w:t xml:space="preserve">5. М., 1987 </w:t>
      </w:r>
      <w:r>
        <w:rPr>
          <w:rFonts w:eastAsia="MingLiU;細明體" w:cs="Garamond" w:ascii="Garamond" w:hAnsi="Garamond"/>
          <w:lang w:val="en-US"/>
        </w:rPr>
        <w:t xml:space="preserve">[Sima Qian. </w:t>
      </w:r>
      <w:r>
        <w:rPr>
          <w:rFonts w:eastAsia="MingLiU;細明體" w:cs="Garamond" w:ascii="Garamond" w:hAnsi="Garamond"/>
          <w:bCs/>
          <w:i/>
          <w:iCs/>
          <w:kern w:val="2"/>
          <w:lang w:val="en-US"/>
        </w:rPr>
        <w:t>Records of the Grand Historian</w:t>
      </w:r>
      <w:r>
        <w:rPr>
          <w:rFonts w:eastAsia="MingLiU;細明體" w:cs="Garamond" w:ascii="Garamond" w:hAnsi="Garamond"/>
          <w:bCs/>
          <w:iCs/>
          <w:kern w:val="2"/>
          <w:lang w:val="en-US"/>
        </w:rPr>
        <w:t xml:space="preserve">. </w:t>
      </w:r>
      <w:r>
        <w:rPr>
          <w:rFonts w:eastAsia="MingLiU;細明體" w:cs="Garamond" w:ascii="Garamond" w:hAnsi="Garamond"/>
          <w:lang w:val="en-US"/>
        </w:rPr>
        <w:t>Vol. 5. Trans. By R. V. Vyatkin, Moscow, 1987].</w:t>
      </w:r>
    </w:p>
    <w:p>
      <w:pPr>
        <w:pStyle w:val="NoSpacing"/>
        <w:tabs>
          <w:tab w:val="clear" w:pos="709"/>
          <w:tab w:val="left" w:pos="720" w:leader="none"/>
        </w:tabs>
        <w:ind w:start="720" w:end="-31" w:hanging="720"/>
        <w:jc w:val="both"/>
        <w:rPr>
          <w:rStyle w:val="Author"/>
          <w:rFonts w:ascii="Garamond" w:hAnsi="Garamond" w:eastAsia="MingLiU;細明體" w:cs="Garamond"/>
        </w:rPr>
      </w:pPr>
      <w:r>
        <w:rPr>
          <w:rFonts w:eastAsia="MingLiU;細明體" w:cs="Garamond" w:ascii="Garamond" w:hAnsi="Garamond"/>
          <w:iCs/>
        </w:rPr>
        <w:t>Ху Хоусюань, Ху Чжэнь-юй</w:t>
      </w:r>
      <w:r>
        <w:rPr>
          <w:rFonts w:eastAsia="MingLiU;細明體" w:cs="Garamond" w:ascii="Garamond" w:hAnsi="Garamond"/>
        </w:rPr>
        <w:t xml:space="preserve">. </w:t>
      </w:r>
      <w:r>
        <w:rPr>
          <w:rFonts w:eastAsia="MingLiU;細明體" w:cs="Garamond" w:ascii="Garamond" w:hAnsi="Garamond"/>
          <w:i/>
        </w:rPr>
        <w:t>История династии Инь-Шан</w:t>
      </w:r>
      <w:r>
        <w:rPr>
          <w:rFonts w:eastAsia="MingLiU;細明體" w:cs="Garamond" w:ascii="Garamond" w:hAnsi="Garamond"/>
        </w:rPr>
        <w:t>. Шанхай, 2003 [</w:t>
      </w:r>
      <w:r>
        <w:rPr>
          <w:rFonts w:ascii="Garamond" w:hAnsi="Garamond" w:cs="Times New Roman" w:eastAsia="MingLiU;細明體"/>
        </w:rPr>
        <w:t>胡厚宣</w:t>
      </w:r>
      <w:r>
        <w:rPr>
          <w:rFonts w:eastAsia="MingLiU;細明體" w:cs="Garamond" w:ascii="Garamond" w:hAnsi="Garamond"/>
        </w:rPr>
        <w:t xml:space="preserve">, </w:t>
      </w:r>
      <w:r>
        <w:rPr>
          <w:rFonts w:ascii="Garamond" w:hAnsi="Garamond" w:cs="Times New Roman" w:eastAsia="MingLiU;細明體"/>
        </w:rPr>
        <w:t>胡振宇</w:t>
      </w:r>
      <w:r>
        <w:rPr>
          <w:rFonts w:ascii="Garamond" w:hAnsi="Garamond" w:cs="Garamond" w:eastAsia="Garamond"/>
        </w:rPr>
        <w:t xml:space="preserve"> </w:t>
      </w:r>
      <w:r>
        <w:rPr>
          <w:rFonts w:eastAsia="MingLiU;細明體" w:cs="Garamond" w:ascii="Garamond" w:hAnsi="Garamond"/>
        </w:rPr>
        <w:t>(</w:t>
      </w:r>
      <w:r>
        <w:rPr>
          <w:rFonts w:eastAsia="MingLiU;細明體" w:cs="Garamond" w:ascii="Garamond" w:hAnsi="Garamond"/>
          <w:lang w:val="en-US"/>
        </w:rPr>
        <w:t>Hu</w:t>
      </w:r>
      <w:r>
        <w:rPr>
          <w:rFonts w:eastAsia="MingLiU;細明體" w:cs="Garamond" w:ascii="Garamond" w:hAnsi="Garamond"/>
        </w:rPr>
        <w:t xml:space="preserve"> </w:t>
      </w:r>
      <w:r>
        <w:rPr>
          <w:rFonts w:eastAsia="MingLiU;細明體" w:cs="Garamond" w:ascii="Garamond" w:hAnsi="Garamond"/>
          <w:lang w:val="en-US"/>
        </w:rPr>
        <w:t>Houxuan</w:t>
      </w:r>
      <w:r>
        <w:rPr>
          <w:rFonts w:eastAsia="MingLiU;細明體" w:cs="Garamond" w:ascii="Garamond" w:hAnsi="Garamond"/>
        </w:rPr>
        <w:t xml:space="preserve">, </w:t>
      </w:r>
      <w:r>
        <w:rPr>
          <w:rFonts w:eastAsia="MingLiU;細明體" w:cs="Garamond" w:ascii="Garamond" w:hAnsi="Garamond"/>
          <w:lang w:val="en-US"/>
        </w:rPr>
        <w:t>Hu</w:t>
      </w:r>
      <w:r>
        <w:rPr>
          <w:rFonts w:eastAsia="MingLiU;細明體" w:cs="Garamond" w:ascii="Garamond" w:hAnsi="Garamond"/>
        </w:rPr>
        <w:t xml:space="preserve"> </w:t>
      </w:r>
      <w:r>
        <w:rPr>
          <w:rFonts w:eastAsia="MingLiU;細明體" w:cs="Garamond" w:ascii="Garamond" w:hAnsi="Garamond"/>
          <w:lang w:val="en-US"/>
        </w:rPr>
        <w:t>Zhenyu</w:t>
      </w:r>
      <w:r>
        <w:rPr>
          <w:rFonts w:eastAsia="MingLiU;細明體" w:cs="Garamond" w:ascii="Garamond" w:hAnsi="Garamond"/>
        </w:rPr>
        <w:t xml:space="preserve">). </w:t>
      </w:r>
      <w:r>
        <w:rPr>
          <w:rFonts w:ascii="Garamond" w:hAnsi="Garamond" w:cs="Times New Roman" w:eastAsia="MingLiU;細明體"/>
        </w:rPr>
        <w:t>殷商史</w:t>
      </w:r>
      <w:r>
        <w:rPr>
          <w:rFonts w:eastAsia="MingLiU;細明體" w:cs="Garamond" w:ascii="Garamond" w:hAnsi="Garamond"/>
        </w:rPr>
        <w:t xml:space="preserve">. </w:t>
      </w:r>
      <w:r>
        <w:rPr>
          <w:rFonts w:eastAsia="MingLiU;細明體" w:cs="Garamond" w:ascii="Garamond" w:hAnsi="Garamond"/>
          <w:i/>
          <w:lang w:val="en-US"/>
        </w:rPr>
        <w:t>History</w:t>
      </w:r>
      <w:r>
        <w:rPr>
          <w:rFonts w:eastAsia="MingLiU;細明體" w:cs="Garamond" w:ascii="Garamond" w:hAnsi="Garamond"/>
          <w:i/>
        </w:rPr>
        <w:t xml:space="preserve"> </w:t>
      </w:r>
      <w:r>
        <w:rPr>
          <w:rFonts w:eastAsia="MingLiU;細明體" w:cs="Garamond" w:ascii="Garamond" w:hAnsi="Garamond"/>
          <w:i/>
          <w:lang w:val="en-US"/>
        </w:rPr>
        <w:t>of</w:t>
      </w:r>
      <w:r>
        <w:rPr>
          <w:rFonts w:eastAsia="MingLiU;細明體" w:cs="Garamond" w:ascii="Garamond" w:hAnsi="Garamond"/>
          <w:i/>
        </w:rPr>
        <w:t xml:space="preserve"> </w:t>
      </w:r>
      <w:r>
        <w:rPr>
          <w:rFonts w:eastAsia="MingLiU;細明體" w:cs="Garamond" w:ascii="Garamond" w:hAnsi="Garamond"/>
          <w:i/>
          <w:lang w:val="en-US"/>
        </w:rPr>
        <w:t>Shang</w:t>
      </w:r>
      <w:r>
        <w:rPr>
          <w:rFonts w:eastAsia="MingLiU;細明體" w:cs="Garamond" w:ascii="Garamond" w:hAnsi="Garamond"/>
          <w:i/>
        </w:rPr>
        <w:t>-</w:t>
      </w:r>
      <w:r>
        <w:rPr>
          <w:rFonts w:eastAsia="MingLiU;細明體" w:cs="Garamond" w:ascii="Garamond" w:hAnsi="Garamond"/>
          <w:i/>
          <w:lang w:val="en-US"/>
        </w:rPr>
        <w:t>Yin</w:t>
      </w:r>
      <w:r>
        <w:rPr>
          <w:rFonts w:eastAsia="MingLiU;細明體" w:cs="Garamond" w:ascii="Garamond" w:hAnsi="Garamond"/>
          <w:i/>
        </w:rPr>
        <w:t xml:space="preserve"> </w:t>
      </w:r>
      <w:r>
        <w:rPr>
          <w:rFonts w:eastAsia="MingLiU;細明體" w:cs="Garamond" w:ascii="Garamond" w:hAnsi="Garamond"/>
          <w:i/>
          <w:lang w:val="en-US"/>
        </w:rPr>
        <w:t>Dynasty</w:t>
      </w:r>
      <w:r>
        <w:rPr>
          <w:rFonts w:eastAsia="MingLiU;細明體" w:cs="Garamond" w:ascii="Garamond" w:hAnsi="Garamond"/>
          <w:i/>
        </w:rPr>
        <w:t>.</w:t>
      </w:r>
      <w:r>
        <w:rPr>
          <w:rFonts w:eastAsia="MingLiU;細明體" w:cs="Garamond" w:ascii="Garamond" w:hAnsi="Garamond"/>
        </w:rPr>
        <w:t xml:space="preserve"> </w:t>
      </w:r>
      <w:r>
        <w:rPr>
          <w:rFonts w:eastAsia="MingLiU;細明體" w:cs="Garamond" w:ascii="Garamond" w:hAnsi="Garamond"/>
          <w:lang w:val="en-US"/>
        </w:rPr>
        <w:t>Shanghai</w:t>
      </w:r>
      <w:r>
        <w:rPr>
          <w:rFonts w:eastAsia="MingLiU;細明體" w:cs="Garamond" w:ascii="Garamond" w:hAnsi="Garamond"/>
        </w:rPr>
        <w:t>, 2003 (</w:t>
      </w:r>
      <w:r>
        <w:rPr>
          <w:rFonts w:eastAsia="MingLiU;細明體" w:cs="Garamond" w:ascii="Garamond" w:hAnsi="Garamond"/>
          <w:lang w:val="en-US"/>
        </w:rPr>
        <w:t>in</w:t>
      </w:r>
      <w:r>
        <w:rPr>
          <w:rFonts w:eastAsia="MingLiU;細明體" w:cs="Garamond" w:ascii="Garamond" w:hAnsi="Garamond"/>
        </w:rPr>
        <w:t xml:space="preserve"> </w:t>
      </w:r>
      <w:r>
        <w:rPr>
          <w:rFonts w:eastAsia="MingLiU;細明體" w:cs="Garamond" w:ascii="Garamond" w:hAnsi="Garamond"/>
          <w:lang w:val="en-US"/>
        </w:rPr>
        <w:t>Chinese</w:t>
      </w:r>
      <w:r>
        <w:rPr>
          <w:rFonts w:eastAsia="MingLiU;細明體" w:cs="Garamond" w:ascii="Garamond" w:hAnsi="Garamond"/>
        </w:rPr>
        <w:t xml:space="preserve">)]. </w:t>
      </w:r>
    </w:p>
    <w:p>
      <w:pPr>
        <w:pStyle w:val="NoSpacing"/>
        <w:tabs>
          <w:tab w:val="clear" w:pos="709"/>
          <w:tab w:val="left" w:pos="720" w:leader="none"/>
        </w:tabs>
        <w:ind w:start="720" w:end="-31" w:hanging="720"/>
        <w:jc w:val="both"/>
        <w:rPr/>
      </w:pPr>
      <w:r>
        <w:rPr>
          <w:rFonts w:eastAsia="MingLiU;細明體" w:cs="Garamond" w:ascii="Garamond" w:hAnsi="Garamond"/>
        </w:rPr>
        <w:t>Цао Дин’юнь. Раскопки и хронология надписей на гадательных костях на археологическом комплексе Иньсюй. Работы по китайской археологии. Сб</w:t>
      </w:r>
      <w:r>
        <w:rPr>
          <w:rFonts w:eastAsia="MingLiU;細明體" w:cs="Garamond" w:ascii="Garamond" w:hAnsi="Garamond"/>
          <w:lang w:val="en-US"/>
        </w:rPr>
        <w:t xml:space="preserve">. 15. </w:t>
      </w:r>
      <w:r>
        <w:rPr>
          <w:rFonts w:eastAsia="MingLiU;細明體" w:cs="Garamond" w:ascii="Garamond" w:hAnsi="Garamond"/>
        </w:rPr>
        <w:t>Пекин</w:t>
      </w:r>
      <w:r>
        <w:rPr>
          <w:rFonts w:eastAsia="MingLiU;細明體" w:cs="Garamond" w:ascii="Garamond" w:hAnsi="Garamond"/>
          <w:lang w:val="en-US"/>
        </w:rPr>
        <w:t xml:space="preserve"> 2004. </w:t>
      </w:r>
      <w:r>
        <w:rPr>
          <w:rFonts w:eastAsia="MingLiU;細明體" w:cs="Garamond" w:ascii="Garamond" w:hAnsi="Garamond"/>
        </w:rPr>
        <w:t>С</w:t>
      </w:r>
      <w:r>
        <w:rPr>
          <w:rFonts w:eastAsia="MingLiU;細明體" w:cs="Garamond" w:ascii="Garamond" w:hAnsi="Garamond"/>
          <w:lang w:val="en-US"/>
        </w:rPr>
        <w:t>. </w:t>
      </w:r>
      <w:r>
        <w:rPr>
          <w:rStyle w:val="D2edcug0"/>
          <w:rFonts w:eastAsia="MingLiU;細明體" w:cs="Garamond" w:ascii="Garamond" w:hAnsi="Garamond"/>
          <w:lang w:val="en-US"/>
        </w:rPr>
        <w:t>174–188</w:t>
      </w:r>
      <w:r>
        <w:rPr>
          <w:rFonts w:eastAsia="MingLiU;細明體" w:cs="Garamond" w:ascii="Garamond" w:hAnsi="Garamond"/>
          <w:lang w:val="en-US"/>
        </w:rPr>
        <w:t xml:space="preserve"> [</w:t>
      </w:r>
      <w:r>
        <w:rPr>
          <w:rStyle w:val="D2edcug0"/>
          <w:rFonts w:ascii="Garamond" w:hAnsi="Garamond" w:cs="Times New Roman" w:eastAsia="MingLiU;細明體"/>
        </w:rPr>
        <w:t>曹定云</w:t>
      </w:r>
      <w:r>
        <w:rPr>
          <w:rStyle w:val="D2edcug0"/>
          <w:rFonts w:eastAsia="MingLiU;細明體" w:cs="Garamond" w:ascii="Garamond" w:hAnsi="Garamond"/>
          <w:lang w:val="en-US"/>
        </w:rPr>
        <w:t>(</w:t>
      </w:r>
      <w:r>
        <w:rPr>
          <w:rFonts w:eastAsia="MingLiU;細明體" w:cs="Garamond" w:ascii="Garamond" w:hAnsi="Garamond"/>
          <w:lang w:val="en-US"/>
        </w:rPr>
        <w:t>Cao Dingyun).</w:t>
      </w:r>
      <w:r>
        <w:rPr>
          <w:rStyle w:val="D2edcug0"/>
          <w:rFonts w:eastAsia="MingLiU;細明體" w:cs="Garamond" w:ascii="Garamond" w:hAnsi="Garamond"/>
          <w:lang w:val="en-US"/>
        </w:rPr>
        <w:t xml:space="preserve"> </w:t>
      </w:r>
      <w:r>
        <w:rPr>
          <w:rStyle w:val="D2edcug0"/>
          <w:rFonts w:ascii="Garamond" w:hAnsi="Garamond" w:cs="Times New Roman" w:eastAsia="MingLiU;細明體"/>
        </w:rPr>
        <w:t>殷墟田野</w:t>
      </w:r>
      <w:r>
        <w:rPr>
          <w:rStyle w:val="D2edcug0"/>
          <w:rFonts w:ascii="Garamond" w:hAnsi="Garamond" w:cs="Times New Roman"/>
        </w:rPr>
        <w:t>发</w:t>
      </w:r>
      <w:r>
        <w:rPr>
          <w:rStyle w:val="D2edcug0"/>
          <w:rFonts w:ascii="Garamond" w:hAnsi="Garamond" w:cs="Times New Roman" w:eastAsia="MingLiU;細明體"/>
        </w:rPr>
        <w:t>掘与卜辞断代</w:t>
      </w:r>
      <w:r>
        <w:rPr>
          <w:rFonts w:eastAsia="MingLiU;細明體" w:cs="Garamond" w:ascii="Garamond" w:hAnsi="Garamond"/>
          <w:lang w:val="en-US"/>
        </w:rPr>
        <w:t xml:space="preserve">. Field Excavation and Chronology of Oracle Bone Inscriptions at the Yinxu Site. </w:t>
      </w:r>
      <w:r>
        <w:rPr>
          <w:rFonts w:ascii="Garamond" w:hAnsi="Garamond" w:cs="Times New Roman" w:eastAsia="MingLiU;細明體"/>
          <w:iCs/>
        </w:rPr>
        <w:t>考古学集刊</w:t>
      </w:r>
      <w:r>
        <w:rPr>
          <w:rFonts w:eastAsia="MingLiU;細明體" w:cs="Garamond" w:ascii="Garamond" w:hAnsi="Garamond"/>
          <w:iCs/>
          <w:lang w:val="en-US"/>
        </w:rPr>
        <w:t>.</w:t>
      </w:r>
      <w:r>
        <w:rPr>
          <w:rFonts w:eastAsia="MingLiU;細明體" w:cs="Garamond" w:ascii="Garamond" w:hAnsi="Garamond"/>
          <w:lang w:val="en-US"/>
        </w:rPr>
        <w:t xml:space="preserve"> </w:t>
      </w:r>
      <w:r>
        <w:rPr>
          <w:rFonts w:eastAsia="MingLiU;細明體" w:cs="Garamond" w:ascii="Garamond" w:hAnsi="Garamond"/>
          <w:i/>
          <w:lang w:val="en-US"/>
        </w:rPr>
        <w:t>Papers on Chinese Archaeology</w:t>
      </w:r>
      <w:r>
        <w:rPr>
          <w:rFonts w:eastAsia="MingLiU;細明體" w:cs="Garamond" w:ascii="Garamond" w:hAnsi="Garamond"/>
          <w:lang w:val="en-US"/>
        </w:rPr>
        <w:t>. No. 15. Beijing, 2004. Pp. </w:t>
      </w:r>
      <w:r>
        <w:rPr>
          <w:rStyle w:val="D2edcug0"/>
          <w:rFonts w:eastAsia="MingLiU;細明體" w:cs="Garamond" w:ascii="Garamond" w:hAnsi="Garamond"/>
          <w:lang w:val="en-US"/>
        </w:rPr>
        <w:t xml:space="preserve">174–188 </w:t>
      </w:r>
      <w:r>
        <w:rPr>
          <w:rFonts w:eastAsia="MingLiU;細明體" w:cs="Garamond" w:ascii="Garamond" w:hAnsi="Garamond"/>
          <w:lang w:val="en-US"/>
        </w:rPr>
        <w:t xml:space="preserve">(in Chinese)]. </w:t>
      </w:r>
    </w:p>
    <w:p>
      <w:pPr>
        <w:pStyle w:val="NoSpacing"/>
        <w:tabs>
          <w:tab w:val="clear" w:pos="709"/>
          <w:tab w:val="left" w:pos="720" w:leader="none"/>
        </w:tabs>
        <w:ind w:start="720" w:end="-31" w:hanging="720"/>
        <w:jc w:val="both"/>
        <w:rPr/>
      </w:pPr>
      <w:r>
        <w:rPr>
          <w:rFonts w:eastAsia="MingLiU;細明體" w:cs="Garamond" w:ascii="Garamond" w:hAnsi="Garamond"/>
          <w:iCs/>
        </w:rPr>
        <w:t>Чэнь</w:t>
      </w:r>
      <w:r>
        <w:rPr>
          <w:rFonts w:eastAsia="MingLiU;細明體" w:cs="Garamond" w:ascii="Garamond" w:hAnsi="Garamond"/>
          <w:iCs/>
          <w:lang w:val="en-US"/>
        </w:rPr>
        <w:t xml:space="preserve"> </w:t>
      </w:r>
      <w:r>
        <w:rPr>
          <w:rFonts w:eastAsia="MingLiU;細明體" w:cs="Garamond" w:ascii="Garamond" w:hAnsi="Garamond"/>
          <w:iCs/>
        </w:rPr>
        <w:t>Мэнцзя</w:t>
      </w:r>
      <w:r>
        <w:rPr>
          <w:rFonts w:eastAsia="MingLiU;細明體" w:cs="Garamond" w:ascii="Garamond" w:hAnsi="Garamond"/>
          <w:iCs/>
          <w:lang w:val="en-US"/>
        </w:rPr>
        <w:t>.</w:t>
      </w:r>
      <w:r>
        <w:rPr>
          <w:rFonts w:eastAsia="MingLiU;細明體" w:cs="Garamond" w:ascii="Garamond" w:hAnsi="Garamond"/>
          <w:i/>
          <w:iCs/>
          <w:lang w:val="en-US"/>
        </w:rPr>
        <w:t xml:space="preserve"> </w:t>
      </w:r>
      <w:r>
        <w:rPr>
          <w:rFonts w:eastAsia="MingLiU;細明體" w:cs="Garamond" w:ascii="Garamond" w:hAnsi="Garamond"/>
          <w:i/>
        </w:rPr>
        <w:t>Свод сведений о гадательных надписях из Иньсюя</w:t>
      </w:r>
      <w:r>
        <w:rPr>
          <w:rFonts w:eastAsia="MingLiU;細明體" w:cs="Garamond" w:ascii="Garamond" w:hAnsi="Garamond"/>
        </w:rPr>
        <w:t>. Пекин, 1956</w:t>
      </w:r>
      <w:r>
        <w:rPr>
          <w:rStyle w:val="Acopre"/>
          <w:rFonts w:eastAsia="MingLiU;細明體" w:cs="Garamond" w:ascii="Garamond" w:hAnsi="Garamond"/>
        </w:rPr>
        <w:t xml:space="preserve"> [</w:t>
      </w:r>
      <w:r>
        <w:rPr>
          <w:rFonts w:ascii="Garamond" w:hAnsi="Garamond" w:cs="Times New Roman"/>
        </w:rPr>
        <w:t>陈</w:t>
      </w:r>
      <w:r>
        <w:rPr>
          <w:rFonts w:ascii="Garamond" w:hAnsi="Garamond" w:cs="Times New Roman" w:eastAsia="MingLiU;細明體"/>
        </w:rPr>
        <w:t>梦家</w:t>
      </w:r>
      <w:r>
        <w:rPr>
          <w:rFonts w:ascii="Garamond" w:hAnsi="Garamond" w:cs="Garamond" w:eastAsia="Garamond"/>
        </w:rPr>
        <w:t xml:space="preserve"> </w:t>
      </w:r>
      <w:r>
        <w:rPr>
          <w:rFonts w:eastAsia="MingLiU;細明體" w:cs="Garamond" w:ascii="Garamond" w:hAnsi="Garamond"/>
        </w:rPr>
        <w:t>(</w:t>
      </w:r>
      <w:r>
        <w:rPr>
          <w:rStyle w:val="Style18"/>
          <w:rFonts w:eastAsia="MingLiU;細明體" w:cs="Garamond" w:ascii="Garamond" w:hAnsi="Garamond"/>
          <w:i w:val="false"/>
          <w:lang w:val="en-US"/>
        </w:rPr>
        <w:t>Chen</w:t>
      </w:r>
      <w:r>
        <w:rPr>
          <w:rStyle w:val="Style18"/>
          <w:rFonts w:eastAsia="MingLiU;細明體" w:cs="Garamond" w:ascii="Garamond" w:hAnsi="Garamond"/>
          <w:i w:val="false"/>
        </w:rPr>
        <w:t xml:space="preserve"> </w:t>
      </w:r>
      <w:r>
        <w:rPr>
          <w:rStyle w:val="Style18"/>
          <w:rFonts w:eastAsia="MingLiU;細明體" w:cs="Garamond" w:ascii="Garamond" w:hAnsi="Garamond"/>
          <w:i w:val="false"/>
          <w:lang w:val="en-US"/>
        </w:rPr>
        <w:t>Mengjia</w:t>
      </w:r>
      <w:r>
        <w:rPr>
          <w:rStyle w:val="Style18"/>
          <w:rFonts w:eastAsia="MingLiU;細明體" w:cs="Garamond" w:ascii="Garamond" w:hAnsi="Garamond"/>
          <w:i w:val="false"/>
        </w:rPr>
        <w:t>)</w:t>
      </w:r>
      <w:r>
        <w:rPr>
          <w:rFonts w:eastAsia="MingLiU;細明體" w:cs="Garamond" w:ascii="Garamond" w:hAnsi="Garamond"/>
          <w:i/>
        </w:rPr>
        <w:t>.</w:t>
      </w:r>
      <w:r>
        <w:rPr>
          <w:rFonts w:eastAsia="MingLiU;細明體" w:cs="Garamond" w:ascii="Garamond" w:hAnsi="Garamond"/>
        </w:rPr>
        <w:t xml:space="preserve"> </w:t>
      </w:r>
      <w:r>
        <w:rPr>
          <w:rFonts w:ascii="Garamond" w:hAnsi="Garamond" w:cs="Times New Roman" w:eastAsia="MingLiU;細明體"/>
          <w:iCs/>
        </w:rPr>
        <w:t>殷墟卜辞</w:t>
      </w:r>
      <w:r>
        <w:rPr>
          <w:rFonts w:ascii="Garamond" w:hAnsi="Garamond" w:cs="Times New Roman"/>
          <w:iCs/>
        </w:rPr>
        <w:t>综</w:t>
      </w:r>
      <w:r>
        <w:rPr>
          <w:rFonts w:ascii="Garamond" w:hAnsi="Garamond" w:cs="Times New Roman" w:eastAsia="MingLiU;細明體"/>
          <w:iCs/>
        </w:rPr>
        <w:t>述</w:t>
      </w:r>
      <w:r>
        <w:rPr>
          <w:rFonts w:eastAsia="MingLiU;細明體" w:cs="Garamond" w:ascii="Garamond" w:hAnsi="Garamond"/>
          <w:i/>
        </w:rPr>
        <w:t xml:space="preserve">. </w:t>
      </w:r>
      <w:r>
        <w:rPr>
          <w:rStyle w:val="Acopre"/>
          <w:rFonts w:eastAsia="MingLiU;細明體" w:cs="Garamond" w:ascii="Garamond" w:hAnsi="Garamond"/>
          <w:i/>
          <w:lang w:val="en-US"/>
        </w:rPr>
        <w:t>A Comprehensive Study of the Divination Inscriptions from the Ruins of Yin.</w:t>
      </w:r>
      <w:r>
        <w:rPr>
          <w:rFonts w:eastAsia="MingLiU;細明體" w:cs="Garamond" w:ascii="Garamond" w:hAnsi="Garamond"/>
          <w:lang w:val="en-US"/>
        </w:rPr>
        <w:t xml:space="preserve"> Beijing, 1956 (in Chinese)].</w:t>
      </w:r>
      <w:r>
        <w:rPr>
          <w:rStyle w:val="Author"/>
          <w:rFonts w:eastAsia="MingLiU;細明體" w:cs="Garamond" w:ascii="Garamond" w:hAnsi="Garamond"/>
          <w:lang w:val="en-US"/>
        </w:rPr>
        <w:t xml:space="preserve"> </w:t>
      </w:r>
    </w:p>
    <w:p>
      <w:pPr>
        <w:pStyle w:val="NoSpacing"/>
        <w:tabs>
          <w:tab w:val="clear" w:pos="709"/>
          <w:tab w:val="left" w:pos="720" w:leader="none"/>
        </w:tabs>
        <w:ind w:start="720" w:end="-31" w:hanging="720"/>
        <w:jc w:val="both"/>
        <w:rPr>
          <w:rStyle w:val="Author"/>
          <w:rFonts w:ascii="Garamond" w:hAnsi="Garamond" w:eastAsia="MingLiU;細明體" w:cs="Garamond"/>
        </w:rPr>
      </w:pPr>
      <w:r>
        <w:rPr>
          <w:rStyle w:val="Author"/>
          <w:rFonts w:eastAsia="MingLiU;細明體" w:cs="Garamond" w:ascii="Garamond" w:hAnsi="Garamond"/>
        </w:rPr>
        <w:t xml:space="preserve">Чэнь Сюй. </w:t>
      </w:r>
      <w:r>
        <w:rPr>
          <w:rStyle w:val="Author"/>
          <w:rFonts w:eastAsia="MingLiU;細明體" w:cs="Garamond" w:ascii="Garamond" w:hAnsi="Garamond"/>
          <w:i/>
        </w:rPr>
        <w:t>Археология периодов Ся и Шан.</w:t>
      </w:r>
      <w:r>
        <w:rPr>
          <w:rStyle w:val="Author"/>
          <w:rFonts w:eastAsia="MingLiU;細明體" w:cs="Garamond" w:ascii="Garamond" w:hAnsi="Garamond"/>
        </w:rPr>
        <w:t xml:space="preserve"> Пекин</w:t>
      </w:r>
      <w:r>
        <w:rPr>
          <w:rStyle w:val="Author"/>
          <w:rFonts w:eastAsia="MingLiU;細明體" w:cs="Garamond" w:ascii="Garamond" w:hAnsi="Garamond"/>
          <w:lang w:val="en-US"/>
        </w:rPr>
        <w:t xml:space="preserve">, 200. </w:t>
      </w:r>
      <w:r>
        <w:rPr>
          <w:rFonts w:eastAsia="MingLiU;細明體" w:cs="Garamond" w:ascii="Garamond" w:hAnsi="Garamond"/>
          <w:lang w:val="en-US"/>
        </w:rPr>
        <w:t>[</w:t>
      </w:r>
      <w:r>
        <w:rPr>
          <w:rStyle w:val="Author"/>
          <w:rFonts w:ascii="Garamond" w:hAnsi="Garamond" w:cs="Times New Roman"/>
        </w:rPr>
        <w:t>陈</w:t>
      </w:r>
      <w:r>
        <w:rPr>
          <w:rStyle w:val="Author"/>
          <w:rFonts w:ascii="Garamond" w:hAnsi="Garamond" w:cs="Times New Roman" w:eastAsia="MingLiU;細明體"/>
        </w:rPr>
        <w:t>旭</w:t>
      </w:r>
      <w:r>
        <w:rPr>
          <w:rStyle w:val="Author"/>
          <w:rFonts w:ascii="Garamond" w:hAnsi="Garamond" w:cs="Garamond" w:eastAsia="Garamond"/>
          <w:lang w:val="en-US"/>
        </w:rPr>
        <w:t xml:space="preserve"> </w:t>
      </w:r>
      <w:r>
        <w:rPr>
          <w:rStyle w:val="Author"/>
          <w:rFonts w:eastAsia="MingLiU;細明體" w:cs="Garamond" w:ascii="Garamond" w:hAnsi="Garamond"/>
          <w:lang w:val="en-US"/>
        </w:rPr>
        <w:t xml:space="preserve">(Chen Xu). </w:t>
      </w:r>
      <w:r>
        <w:rPr>
          <w:rFonts w:ascii="Garamond" w:hAnsi="Garamond" w:cs="Times New Roman" w:eastAsia="MingLiU;細明體"/>
          <w:iCs/>
        </w:rPr>
        <w:t>夏商考古</w:t>
      </w:r>
      <w:r>
        <w:rPr>
          <w:rFonts w:eastAsia="MingLiU;細明體" w:cs="Garamond" w:ascii="Garamond" w:hAnsi="Garamond"/>
          <w:i/>
          <w:lang w:val="en-US"/>
        </w:rPr>
        <w:t xml:space="preserve">. </w:t>
      </w:r>
      <w:r>
        <w:rPr>
          <w:rStyle w:val="Author"/>
          <w:rFonts w:eastAsia="MingLiU;細明體" w:cs="Garamond" w:ascii="Garamond" w:hAnsi="Garamond"/>
          <w:i/>
          <w:lang w:val="en-US"/>
        </w:rPr>
        <w:t>Shang</w:t>
      </w:r>
      <w:r>
        <w:rPr>
          <w:rStyle w:val="Author"/>
          <w:rFonts w:eastAsia="MingLiU;細明體" w:cs="Garamond" w:ascii="Garamond" w:hAnsi="Garamond"/>
          <w:i/>
        </w:rPr>
        <w:t xml:space="preserve"> </w:t>
      </w:r>
      <w:r>
        <w:rPr>
          <w:rStyle w:val="Author"/>
          <w:rFonts w:eastAsia="MingLiU;細明體" w:cs="Garamond" w:ascii="Garamond" w:hAnsi="Garamond"/>
          <w:i/>
          <w:lang w:val="en-US"/>
        </w:rPr>
        <w:t>and</w:t>
      </w:r>
      <w:r>
        <w:rPr>
          <w:rStyle w:val="Author"/>
          <w:rFonts w:eastAsia="MingLiU;細明體" w:cs="Garamond" w:ascii="Garamond" w:hAnsi="Garamond"/>
          <w:i/>
        </w:rPr>
        <w:t xml:space="preserve"> </w:t>
      </w:r>
      <w:r>
        <w:rPr>
          <w:rStyle w:val="Author"/>
          <w:rFonts w:eastAsia="MingLiU;細明體" w:cs="Garamond" w:ascii="Garamond" w:hAnsi="Garamond"/>
          <w:i/>
          <w:lang w:val="en-US"/>
        </w:rPr>
        <w:t>Xia</w:t>
      </w:r>
      <w:r>
        <w:rPr>
          <w:rStyle w:val="Author"/>
          <w:rFonts w:eastAsia="MingLiU;細明體" w:cs="Garamond" w:ascii="Garamond" w:hAnsi="Garamond"/>
          <w:i/>
        </w:rPr>
        <w:t xml:space="preserve"> </w:t>
      </w:r>
      <w:r>
        <w:rPr>
          <w:rStyle w:val="Author"/>
          <w:rFonts w:eastAsia="MingLiU;細明體" w:cs="Garamond" w:ascii="Garamond" w:hAnsi="Garamond"/>
          <w:i/>
          <w:lang w:val="en-US"/>
        </w:rPr>
        <w:t>Archaeology</w:t>
      </w:r>
      <w:r>
        <w:rPr>
          <w:rStyle w:val="Author"/>
          <w:rFonts w:eastAsia="MingLiU;細明體" w:cs="Garamond" w:ascii="Garamond" w:hAnsi="Garamond"/>
          <w:i/>
        </w:rPr>
        <w:t>.</w:t>
      </w:r>
      <w:r>
        <w:rPr>
          <w:rStyle w:val="Author"/>
          <w:rFonts w:eastAsia="MingLiU;細明體" w:cs="Garamond" w:ascii="Garamond" w:hAnsi="Garamond"/>
        </w:rPr>
        <w:t xml:space="preserve"> </w:t>
      </w:r>
      <w:r>
        <w:rPr>
          <w:rFonts w:eastAsia="MingLiU;細明體" w:cs="Garamond" w:ascii="Garamond" w:hAnsi="Garamond"/>
          <w:lang w:val="en-US"/>
        </w:rPr>
        <w:t>Beijing</w:t>
      </w:r>
      <w:r>
        <w:rPr>
          <w:rFonts w:eastAsia="MingLiU;細明體" w:cs="Garamond" w:ascii="Garamond" w:hAnsi="Garamond"/>
        </w:rPr>
        <w:t>, 2001 (</w:t>
      </w:r>
      <w:r>
        <w:rPr>
          <w:rFonts w:eastAsia="MingLiU;細明體" w:cs="Garamond" w:ascii="Garamond" w:hAnsi="Garamond"/>
          <w:lang w:val="en-US"/>
        </w:rPr>
        <w:t>in</w:t>
      </w:r>
      <w:r>
        <w:rPr>
          <w:rFonts w:eastAsia="MingLiU;細明體" w:cs="Garamond" w:ascii="Garamond" w:hAnsi="Garamond"/>
        </w:rPr>
        <w:t xml:space="preserve"> </w:t>
      </w:r>
      <w:r>
        <w:rPr>
          <w:rFonts w:eastAsia="MingLiU;細明體" w:cs="Garamond" w:ascii="Garamond" w:hAnsi="Garamond"/>
          <w:lang w:val="en-US"/>
        </w:rPr>
        <w:t>Chinese</w:t>
      </w:r>
      <w:r>
        <w:rPr>
          <w:rFonts w:eastAsia="MingLiU;細明體" w:cs="Garamond" w:ascii="Garamond" w:hAnsi="Garamond"/>
        </w:rPr>
        <w:t>)].</w:t>
      </w:r>
    </w:p>
    <w:p>
      <w:pPr>
        <w:pStyle w:val="NoSpacing"/>
        <w:tabs>
          <w:tab w:val="clear" w:pos="709"/>
          <w:tab w:val="left" w:pos="720" w:leader="none"/>
        </w:tabs>
        <w:ind w:start="720" w:end="-31" w:hanging="720"/>
        <w:jc w:val="both"/>
        <w:rPr>
          <w:rStyle w:val="Acopre"/>
          <w:rFonts w:ascii="Garamond" w:hAnsi="Garamond" w:eastAsia="MingLiU;細明體" w:cs="Garamond"/>
          <w:lang w:val="en-US"/>
        </w:rPr>
      </w:pPr>
      <w:r>
        <w:rPr>
          <w:rFonts w:eastAsia="MingLiU;細明體" w:cs="Garamond" w:ascii="Garamond" w:hAnsi="Garamond"/>
        </w:rPr>
        <w:t xml:space="preserve">Шэнь Чжиюй. </w:t>
      </w:r>
      <w:r>
        <w:rPr>
          <w:rFonts w:eastAsia="MingLiU;細明體" w:cs="Garamond" w:ascii="Garamond" w:hAnsi="Garamond"/>
          <w:i/>
        </w:rPr>
        <w:t>Исследование основ письменности на гадательных костях</w:t>
      </w:r>
      <w:r>
        <w:rPr>
          <w:rFonts w:eastAsia="MingLiU;細明體" w:cs="Garamond" w:ascii="Garamond" w:hAnsi="Garamond"/>
        </w:rPr>
        <w:t>. Шанхай</w:t>
      </w:r>
      <w:r>
        <w:rPr>
          <w:rFonts w:eastAsia="MingLiU;細明體" w:cs="Garamond" w:ascii="Garamond" w:hAnsi="Garamond"/>
          <w:lang w:val="en-US"/>
        </w:rPr>
        <w:t>, 2011 [</w:t>
      </w:r>
      <w:r>
        <w:rPr>
          <w:rFonts w:ascii="Garamond" w:hAnsi="Garamond" w:cs="Times New Roman" w:eastAsia="MingLiU;細明體"/>
        </w:rPr>
        <w:t>沈之瑜</w:t>
      </w:r>
      <w:r>
        <w:rPr>
          <w:rFonts w:ascii="Garamond" w:hAnsi="Garamond" w:cs="Garamond" w:eastAsia="Garamond"/>
          <w:lang w:val="en-US"/>
        </w:rPr>
        <w:t xml:space="preserve"> </w:t>
      </w:r>
      <w:r>
        <w:rPr>
          <w:rFonts w:eastAsia="MingLiU;細明體" w:cs="Garamond" w:ascii="Garamond" w:hAnsi="Garamond"/>
          <w:lang w:val="en-US"/>
        </w:rPr>
        <w:t xml:space="preserve">(Shen Zhiyu). </w:t>
      </w:r>
      <w:r>
        <w:rPr>
          <w:rFonts w:ascii="Garamond" w:hAnsi="Garamond" w:cs="Times New Roman" w:eastAsia="MingLiU;細明體"/>
          <w:iCs/>
        </w:rPr>
        <w:t>甲骨学基</w:t>
      </w:r>
      <w:r>
        <w:rPr>
          <w:rFonts w:ascii="Garamond" w:hAnsi="Garamond" w:cs="Times New Roman"/>
          <w:iCs/>
        </w:rPr>
        <w:t>础讲</w:t>
      </w:r>
      <w:r>
        <w:rPr>
          <w:rFonts w:ascii="Garamond" w:hAnsi="Garamond" w:cs="Times New Roman" w:eastAsia="MingLiU;細明體"/>
          <w:iCs/>
        </w:rPr>
        <w:t>义</w:t>
      </w:r>
      <w:r>
        <w:rPr>
          <w:rFonts w:eastAsia="MingLiU;細明體" w:cs="Garamond" w:ascii="Garamond" w:hAnsi="Garamond"/>
          <w:lang w:val="en-US"/>
        </w:rPr>
        <w:t xml:space="preserve">. </w:t>
      </w:r>
      <w:r>
        <w:rPr>
          <w:rFonts w:eastAsia="MingLiU;細明體" w:cs="Garamond" w:ascii="Garamond" w:hAnsi="Garamond"/>
          <w:i/>
          <w:lang w:val="en-US"/>
        </w:rPr>
        <w:t>The Study of the Foundations of Oracle Bone Script</w:t>
      </w:r>
      <w:r>
        <w:rPr>
          <w:rFonts w:eastAsia="MingLiU;細明體" w:cs="Garamond" w:ascii="Garamond" w:hAnsi="Garamond"/>
          <w:lang w:val="en-US"/>
        </w:rPr>
        <w:t>. Shanghai, 2011 (in Chinese)].</w:t>
      </w:r>
    </w:p>
    <w:p>
      <w:pPr>
        <w:pStyle w:val="NoSpacing"/>
        <w:tabs>
          <w:tab w:val="clear" w:pos="709"/>
          <w:tab w:val="left" w:pos="720" w:leader="none"/>
        </w:tabs>
        <w:autoSpaceDE w:val="false"/>
        <w:ind w:start="720" w:end="-31" w:hanging="720"/>
        <w:jc w:val="both"/>
        <w:rPr/>
      </w:pPr>
      <w:r>
        <w:rPr>
          <w:rFonts w:eastAsia="MingLiU;細明體" w:cs="Garamond" w:ascii="Garamond" w:hAnsi="Garamond"/>
          <w:lang w:val="en-US"/>
        </w:rPr>
        <w:t xml:space="preserve">Keightley D. N. </w:t>
      </w:r>
      <w:r>
        <w:rPr>
          <w:rFonts w:eastAsia="MingLiU;細明體" w:cs="Garamond" w:ascii="Garamond" w:hAnsi="Garamond"/>
          <w:i/>
          <w:iCs/>
          <w:lang w:val="en-US"/>
        </w:rPr>
        <w:t>Sources of Shang history: the Oracle-bone Inscriptions of Bronze Age China</w:t>
      </w:r>
      <w:r>
        <w:rPr>
          <w:rFonts w:eastAsia="MingLiU;細明體" w:cs="Garamond" w:ascii="Garamond" w:hAnsi="Garamond"/>
          <w:lang w:val="en-US"/>
        </w:rPr>
        <w:t>. Berkeley, 1978.</w:t>
      </w:r>
    </w:p>
    <w:p>
      <w:pPr>
        <w:pStyle w:val="NoSpacing"/>
        <w:tabs>
          <w:tab w:val="clear" w:pos="709"/>
          <w:tab w:val="left" w:pos="720" w:leader="none"/>
        </w:tabs>
        <w:ind w:start="720" w:end="-31" w:hanging="720"/>
        <w:jc w:val="both"/>
        <w:rPr/>
      </w:pPr>
      <w:r>
        <w:rPr>
          <w:rFonts w:eastAsia="MingLiU;細明體" w:cs="Garamond" w:ascii="Garamond" w:hAnsi="Garamond"/>
          <w:lang w:val="en-US"/>
        </w:rPr>
        <w:t xml:space="preserve">Lee Yun Kuen. Building the Chronology of Early Chinese History. </w:t>
      </w:r>
      <w:r>
        <w:rPr>
          <w:rFonts w:eastAsia="MingLiU;細明體" w:cs="Garamond" w:ascii="Garamond" w:hAnsi="Garamond"/>
          <w:i/>
          <w:lang w:val="en-US"/>
        </w:rPr>
        <w:t>Asian Perspectives</w:t>
      </w:r>
      <w:r>
        <w:rPr>
          <w:rFonts w:eastAsia="MingLiU;細明體" w:cs="Garamond" w:ascii="Garamond" w:hAnsi="Garamond"/>
          <w:lang w:val="en-US"/>
        </w:rPr>
        <w:t xml:space="preserve">. 2002. 41.1. Pp. 15–42. </w:t>
      </w:r>
    </w:p>
    <w:p>
      <w:pPr>
        <w:pStyle w:val="NoSpacing"/>
        <w:tabs>
          <w:tab w:val="clear" w:pos="709"/>
          <w:tab w:val="left" w:pos="720" w:leader="none"/>
        </w:tabs>
        <w:ind w:start="720" w:end="-31" w:hanging="720"/>
        <w:jc w:val="both"/>
        <w:rPr>
          <w:rFonts w:ascii="Garamond" w:hAnsi="Garamond" w:eastAsia="MingLiU;細明體" w:cs="Garamond"/>
          <w:lang w:val="en-US"/>
        </w:rPr>
      </w:pPr>
      <w:r>
        <w:rPr>
          <w:rStyle w:val="Style18"/>
          <w:rFonts w:eastAsia="MingLiU;細明體" w:cs="Garamond" w:ascii="Garamond" w:hAnsi="Garamond"/>
          <w:i w:val="false"/>
          <w:lang w:val="en-US"/>
        </w:rPr>
        <w:t>Li Chi</w:t>
      </w:r>
      <w:r>
        <w:rPr>
          <w:rFonts w:eastAsia="MingLiU;細明體" w:cs="Garamond" w:ascii="Garamond" w:hAnsi="Garamond"/>
          <w:i/>
          <w:lang w:val="en-US"/>
        </w:rPr>
        <w:t>.</w:t>
      </w:r>
      <w:r>
        <w:rPr>
          <w:rFonts w:eastAsia="MingLiU;細明體" w:cs="Garamond" w:ascii="Garamond" w:hAnsi="Garamond"/>
          <w:lang w:val="en-US"/>
        </w:rPr>
        <w:t xml:space="preserve"> </w:t>
      </w:r>
      <w:r>
        <w:rPr>
          <w:rFonts w:eastAsia="MingLiU;細明體" w:cs="Garamond" w:ascii="Garamond" w:hAnsi="Garamond"/>
          <w:i/>
          <w:lang w:val="en-US"/>
        </w:rPr>
        <w:t>Anyang</w:t>
      </w:r>
      <w:r>
        <w:rPr>
          <w:rFonts w:eastAsia="MingLiU;細明體" w:cs="Garamond" w:ascii="Garamond" w:hAnsi="Garamond"/>
          <w:lang w:val="en-US"/>
        </w:rPr>
        <w:t>. Seattle, 1972.</w:t>
      </w:r>
    </w:p>
    <w:p>
      <w:pPr>
        <w:pStyle w:val="NoSpacing"/>
        <w:tabs>
          <w:tab w:val="clear" w:pos="709"/>
          <w:tab w:val="left" w:pos="720" w:leader="none"/>
        </w:tabs>
        <w:ind w:start="720" w:end="-31" w:hanging="720"/>
        <w:jc w:val="both"/>
        <w:rPr>
          <w:rFonts w:ascii="Garamond" w:hAnsi="Garamond" w:eastAsia="MingLiU;細明體" w:cs="Garamond"/>
        </w:rPr>
      </w:pPr>
      <w:r>
        <w:rPr>
          <w:rFonts w:cs="Garamond" w:ascii="Garamond" w:hAnsi="Garamond"/>
          <w:lang w:val="en-US"/>
        </w:rPr>
        <w:t xml:space="preserve">Li Liu, Hong Xu. Rethinking Erlitou: Legend, History and Chinese Archaeology. </w:t>
      </w:r>
      <w:r>
        <w:rPr>
          <w:rFonts w:cs="Garamond" w:ascii="Garamond" w:hAnsi="Garamond"/>
          <w:i/>
          <w:lang w:val="en-US"/>
        </w:rPr>
        <w:t>Antiquity</w:t>
      </w:r>
      <w:r>
        <w:rPr>
          <w:rFonts w:cs="Garamond" w:ascii="Garamond" w:hAnsi="Garamond"/>
          <w:lang w:val="en-US"/>
        </w:rPr>
        <w:t>. 2007. 81. No.314. Pp. 886–910.</w:t>
      </w:r>
    </w:p>
    <w:p>
      <w:pPr>
        <w:pStyle w:val="NoSpacing"/>
        <w:tabs>
          <w:tab w:val="clear" w:pos="709"/>
          <w:tab w:val="left" w:pos="720" w:leader="none"/>
        </w:tabs>
        <w:autoSpaceDE w:val="false"/>
        <w:ind w:start="720" w:end="-31" w:hanging="720"/>
        <w:jc w:val="both"/>
        <w:rPr/>
      </w:pPr>
      <w:r>
        <w:rPr>
          <w:rFonts w:eastAsia="MingLiU;細明體" w:cs="Garamond" w:ascii="Garamond" w:hAnsi="Garamond"/>
          <w:lang w:val="en-US"/>
        </w:rPr>
        <w:t xml:space="preserve">Schwartz A. C. </w:t>
      </w:r>
      <w:r>
        <w:rPr>
          <w:rFonts w:eastAsia="MingLiU;細明體" w:cs="Garamond" w:ascii="Garamond" w:hAnsi="Garamond"/>
          <w:i/>
          <w:lang w:val="en-US"/>
        </w:rPr>
        <w:t>The Oracle Bone Inscriptions from Huayuanzhuang East</w:t>
      </w:r>
      <w:r>
        <w:rPr>
          <w:rFonts w:eastAsia="MingLiU;細明體" w:cs="Garamond" w:ascii="Garamond" w:hAnsi="Garamond"/>
          <w:lang w:val="en-US"/>
        </w:rPr>
        <w:t xml:space="preserve">. </w:t>
      </w:r>
      <w:r>
        <w:rPr>
          <w:rFonts w:eastAsia="MingLiU;細明體" w:cs="Garamond" w:ascii="Garamond" w:hAnsi="Garamond"/>
          <w:lang w:val="en-US" w:eastAsia="ru-RU"/>
        </w:rPr>
        <w:t>Boston, Berlin</w:t>
      </w:r>
      <w:r>
        <w:rPr>
          <w:rFonts w:eastAsia="MingLiU;細明體" w:cs="Garamond" w:ascii="Garamond" w:hAnsi="Garamond"/>
          <w:lang w:val="en-US"/>
        </w:rPr>
        <w:t>, 2019.</w:t>
      </w:r>
    </w:p>
    <w:sectPr>
      <w:headerReference w:type="default" r:id="rId4"/>
      <w:footerReference w:type="default" r:id="rId5"/>
      <w:footnotePr>
        <w:numFmt w:val="chicago"/>
        <w:numRestart w:val="eachSect"/>
      </w:footnotePr>
      <w:type w:val="nextPage"/>
      <w:pgSz w:w="11055"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Times">
    <w:altName w:val="Times New Roman"/>
    <w:charset w:val="00" w:characterSet="windows-1252"/>
    <w:family w:val="roman"/>
    <w:pitch w:val="variable"/>
  </w:font>
  <w:font w:name="Garamond">
    <w:charset w:val="cc" w:characterSet="windows-1251"/>
    <w:family w:val="roman"/>
    <w:pitch w:val="variable"/>
  </w:font>
  <w:font w:name="Liberation Sans">
    <w:altName w:val="Arial"/>
    <w:charset w:val="01" w:characterSet="utf-8"/>
    <w:family w:val="swiss"/>
    <w:pitch w:val="variable"/>
  </w:font>
  <w:font w:name="Calibri">
    <w:charset w:val="cc" w:characterSet="windows-1251"/>
    <w:family w:val="swiss"/>
    <w:pitch w:val="variable"/>
  </w:font>
  <w:font w:name="MingLiU_HKSCS-ExtB">
    <w:charset w:val="8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4">
              <wp:simplePos x="0" y="0"/>
              <wp:positionH relativeFrom="margin">
                <wp:align>center</wp:align>
              </wp:positionH>
              <wp:positionV relativeFrom="paragraph">
                <wp:posOffset>635</wp:posOffset>
              </wp:positionV>
              <wp:extent cx="178435" cy="162560"/>
              <wp:effectExtent l="0" t="0" r="0" b="0"/>
              <wp:wrapSquare wrapText="largest"/>
              <wp:docPr id="1" name="Врезка1"/>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9"/>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87</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65pt;mso-position-horizontal:center;mso-position-horizontal-relative:margin">
              <v:fill opacity="0f"/>
              <v:textbox inset="0in,0in,0in,0in">
                <w:txbxContent>
                  <w:p>
                    <w:pPr>
                      <w:pStyle w:val="Style29"/>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87</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16">
              <wp:simplePos x="0" y="0"/>
              <wp:positionH relativeFrom="margin">
                <wp:align>center</wp:align>
              </wp:positionH>
              <wp:positionV relativeFrom="paragraph">
                <wp:posOffset>635</wp:posOffset>
              </wp:positionV>
              <wp:extent cx="178435" cy="162560"/>
              <wp:effectExtent l="0" t="0" r="0" b="0"/>
              <wp:wrapSquare wrapText="largest"/>
              <wp:docPr id="3"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9"/>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99</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65pt;mso-position-horizontal:center;mso-position-horizontal-relative:margin">
              <v:fill opacity="0f"/>
              <v:textbox inset="0in,0in,0in,0in">
                <w:txbxContent>
                  <w:p>
                    <w:pPr>
                      <w:pStyle w:val="Style29"/>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99</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Spacing"/>
        <w:ind w:end="-31" w:hanging="0"/>
        <w:jc w:val="both"/>
        <w:rPr/>
      </w:pPr>
      <w:r>
        <w:rPr>
          <w:rStyle w:val="Style14"/>
        </w:rPr>
        <w:footnoteRef/>
      </w:r>
      <w:r>
        <w:rPr>
          <w:rFonts w:eastAsia="MingLiU;細明體" w:cs="Garamond" w:ascii="Garamond" w:hAnsi="Garamond"/>
          <w:sz w:val="20"/>
          <w:szCs w:val="20"/>
        </w:rPr>
        <w:t xml:space="preserve"> </w:t>
      </w:r>
      <w:r>
        <w:rPr>
          <w:rFonts w:eastAsia="MingLiU;細明體" w:cs="Garamond" w:ascii="Garamond" w:hAnsi="Garamond"/>
          <w:sz w:val="20"/>
          <w:szCs w:val="20"/>
        </w:rPr>
        <w:t>Марина Евгеньевна КУЗНЕЦОВА-ФЕТИСОВА, младший научный сотрудник Института востоковедения РАН, Москва; marinakuznfet@gmail.com</w:t>
      </w:r>
    </w:p>
    <w:p>
      <w:pPr>
        <w:pStyle w:val="NoSpacing"/>
        <w:ind w:end="-31" w:hanging="0"/>
        <w:jc w:val="both"/>
        <w:rPr/>
      </w:pPr>
      <w:r>
        <w:rPr>
          <w:rFonts w:eastAsia="Garamond" w:cs="Garamond" w:ascii="Garamond" w:hAnsi="Garamond"/>
          <w:sz w:val="20"/>
          <w:szCs w:val="20"/>
          <w:lang w:val="en-US"/>
        </w:rPr>
        <w:t xml:space="preserve">     </w:t>
      </w:r>
      <w:r>
        <w:rPr>
          <w:rFonts w:eastAsia="MingLiU;細明體" w:cs="Garamond" w:ascii="Garamond" w:hAnsi="Garamond"/>
          <w:sz w:val="20"/>
          <w:szCs w:val="20"/>
          <w:lang w:val="en-US"/>
        </w:rPr>
        <w:t xml:space="preserve">Marina </w:t>
      </w:r>
      <w:r>
        <w:rPr>
          <w:rFonts w:eastAsia="MingLiU;細明體" w:cs="Garamond" w:ascii="Garamond" w:hAnsi="Garamond"/>
          <w:sz w:val="20"/>
          <w:szCs w:val="20"/>
        </w:rPr>
        <w:t>Е</w:t>
      </w:r>
      <w:r>
        <w:rPr>
          <w:rFonts w:eastAsia="MingLiU;細明體" w:cs="Garamond" w:ascii="Garamond" w:hAnsi="Garamond"/>
          <w:sz w:val="20"/>
          <w:szCs w:val="20"/>
          <w:lang w:val="en-US"/>
        </w:rPr>
        <w:t>. KUZNETSOVA-FETISOVA, Junior Research Fellow, Institute of Oriental Studies RAS, Moscow; marinakuznfet@gmail.com</w:t>
      </w:r>
    </w:p>
    <w:p>
      <w:pPr>
        <w:pStyle w:val="NoSpacing"/>
        <w:ind w:end="-31" w:hanging="0"/>
        <w:jc w:val="both"/>
        <w:rPr/>
      </w:pPr>
      <w:r>
        <w:rPr>
          <w:rFonts w:eastAsia="Garamond" w:cs="Garamond" w:ascii="Garamond" w:hAnsi="Garamond"/>
          <w:sz w:val="20"/>
          <w:szCs w:val="20"/>
        </w:rPr>
        <w:t xml:space="preserve">     </w:t>
      </w:r>
      <w:r>
        <w:rPr>
          <w:rFonts w:eastAsia="MingLiU;細明體" w:cs="Garamond" w:ascii="Garamond" w:hAnsi="Garamond"/>
          <w:sz w:val="20"/>
          <w:szCs w:val="20"/>
        </w:rPr>
        <w:t xml:space="preserve">ORCID ID: </w:t>
      </w:r>
      <w:r>
        <w:rPr>
          <w:rStyle w:val="Orcididhttps"/>
          <w:rFonts w:eastAsia="MingLiU;細明體" w:cs="Garamond" w:ascii="Garamond" w:hAnsi="Garamond"/>
          <w:sz w:val="20"/>
          <w:szCs w:val="20"/>
        </w:rPr>
        <w:t>0000-0002-0092-4428</w:t>
      </w:r>
    </w:p>
  </w:footnote>
  <w:footnote w:id="3">
    <w:p>
      <w:pPr>
        <w:pStyle w:val="Normal"/>
        <w:ind w:end="-31" w:hanging="0"/>
        <w:jc w:val="both"/>
        <w:rPr>
          <w:rFonts w:ascii="Garamond" w:hAnsi="Garamond" w:eastAsia="MingLiU;細明體" w:cs="Garamond"/>
        </w:rPr>
      </w:pPr>
      <w:r>
        <w:rPr>
          <w:rStyle w:val="Style14"/>
        </w:rPr>
        <w:footnoteRef/>
      </w:r>
      <w:r>
        <w:rPr>
          <w:rFonts w:eastAsia="MingLiU;細明體" w:cs="Garamond" w:ascii="Garamond" w:hAnsi="Garamond"/>
        </w:rPr>
        <w:t xml:space="preserve"> </w:t>
      </w:r>
      <w:r>
        <w:rPr>
          <w:rFonts w:eastAsia="MingLiU;細明體" w:cs="Garamond" w:ascii="Garamond" w:hAnsi="Garamond"/>
        </w:rPr>
        <w:t xml:space="preserve">Термин «династия» не вполне адекватно отражает то, что обозначается этим понятием в китайском языке. Подробнее см.: </w:t>
      </w:r>
      <w:r>
        <w:rPr>
          <w:rFonts w:eastAsia="MingLiU;細明體" w:cs="Garamond" w:ascii="Garamond" w:hAnsi="Garamond"/>
          <w:lang w:val="en-US"/>
        </w:rPr>
        <w:t>[</w:t>
      </w:r>
      <w:r>
        <w:rPr>
          <w:rFonts w:eastAsia="MingLiU;細明體" w:cs="Garamond" w:ascii="Garamond" w:hAnsi="Garamond"/>
        </w:rPr>
        <w:t>Кузнецова-Фетисова, 2020, с. 318–325</w:t>
      </w:r>
      <w:r>
        <w:rPr>
          <w:rFonts w:eastAsia="MingLiU;細明體" w:cs="Garamond" w:ascii="Garamond" w:hAnsi="Garamond"/>
          <w:lang w:val="en-US"/>
        </w:rPr>
        <w:t>]</w:t>
      </w:r>
      <w:r>
        <w:rPr>
          <w:rFonts w:eastAsia="MingLiU;細明體" w:cs="Garamond" w:ascii="Garamond" w:hAnsi="Garamond"/>
        </w:rPr>
        <w:t>.</w:t>
      </w:r>
    </w:p>
    <w:p>
      <w:pPr>
        <w:pStyle w:val="Normal"/>
        <w:ind w:end="-31" w:hanging="0"/>
        <w:jc w:val="both"/>
        <w:rPr>
          <w:rFonts w:ascii="Garamond" w:hAnsi="Garamond" w:eastAsia="MingLiU;細明體" w:cs="Garamond"/>
        </w:rPr>
      </w:pPr>
      <w:r>
        <w:rPr>
          <w:rFonts w:eastAsia="MingLiU;細明體" w:cs="Garamond" w:ascii="Garamond" w:hAnsi="Garamond"/>
        </w:rPr>
        <w:t xml:space="preserve">В данной статье применяется термин «династия» в значении правящей династии определенного периода. </w:t>
      </w:r>
    </w:p>
  </w:footnote>
  <w:footnote w:id="4">
    <w:p>
      <w:pPr>
        <w:pStyle w:val="Normal"/>
        <w:ind w:end="-31" w:hanging="0"/>
        <w:jc w:val="both"/>
        <w:rPr/>
      </w:pPr>
      <w:r>
        <w:rPr>
          <w:rStyle w:val="Style14"/>
        </w:rPr>
        <w:footnoteRef/>
      </w:r>
      <w:r>
        <w:rPr>
          <w:rFonts w:eastAsia="MingLiU;細明體" w:cs="Garamond" w:ascii="Garamond" w:hAnsi="Garamond"/>
        </w:rPr>
        <w:t xml:space="preserve"> </w:t>
      </w:r>
      <w:r>
        <w:rPr>
          <w:rFonts w:eastAsia="MingLiU;細明體" w:cs="Garamond" w:ascii="Garamond" w:hAnsi="Garamond"/>
        </w:rPr>
        <w:t>В китайской литературе чаще встречается в форме Инь-Шан (</w:t>
      </w:r>
      <w:r>
        <w:rPr>
          <w:rFonts w:ascii="Garamond" w:hAnsi="Garamond" w:cs="Garamond" w:eastAsia="MingLiU;細明體"/>
        </w:rPr>
        <w:t>殷商</w:t>
      </w:r>
      <w:r>
        <w:rPr>
          <w:rFonts w:eastAsia="MingLiU;細明體" w:cs="Garamond" w:ascii="Garamond" w:hAnsi="Garamond"/>
        </w:rPr>
        <w:t>). Вопросы происхождения и соотношения терминов Шан и Инь продолжают вызывают интерес исследователей, но окончательные ответы так и не найдены.</w:t>
      </w:r>
    </w:p>
  </w:footnote>
  <w:footnote w:id="5">
    <w:p>
      <w:pPr>
        <w:pStyle w:val="Normal"/>
        <w:ind w:end="-31" w:hanging="0"/>
        <w:jc w:val="both"/>
        <w:rPr/>
      </w:pPr>
      <w:r>
        <w:rPr>
          <w:rStyle w:val="Style14"/>
        </w:rPr>
        <w:footnoteRef/>
      </w:r>
      <w:r>
        <w:rPr>
          <w:rFonts w:eastAsia="MingLiU;細明體" w:cs="Garamond" w:ascii="Garamond" w:hAnsi="Garamond"/>
        </w:rPr>
        <w:t xml:space="preserve"> </w:t>
      </w:r>
      <w:r>
        <w:rPr>
          <w:rFonts w:eastAsia="MingLiU;細明體" w:cs="Garamond" w:ascii="Garamond" w:hAnsi="Garamond"/>
        </w:rPr>
        <w:t xml:space="preserve">Китайский термин </w:t>
      </w:r>
      <w:r>
        <w:rPr>
          <w:rFonts w:eastAsia="MingLiU;細明體" w:cs="Garamond" w:ascii="Garamond" w:hAnsi="Garamond"/>
          <w:i/>
        </w:rPr>
        <w:t xml:space="preserve">цзягу вэнь </w:t>
      </w:r>
      <w:r>
        <w:rPr>
          <w:rFonts w:eastAsia="MingLiU;細明體" w:cs="Garamond" w:ascii="Garamond" w:hAnsi="Garamond"/>
          <w:iCs/>
        </w:rPr>
        <w:t>(</w:t>
      </w:r>
      <w:r>
        <w:rPr>
          <w:rFonts w:ascii="Garamond" w:hAnsi="Garamond" w:cs="Garamond" w:eastAsia="MingLiU;細明體"/>
          <w:lang w:val="en-US"/>
        </w:rPr>
        <w:t>甲骨文</w:t>
      </w:r>
      <w:r>
        <w:rPr>
          <w:rFonts w:eastAsia="MingLiU;細明體" w:cs="Garamond" w:ascii="Garamond" w:hAnsi="Garamond"/>
        </w:rPr>
        <w:t>) переводится как «надписи на [черепашьих] панцирях и костях [животных]», поскольку гадания действительно производились чаще всего на лопатках крупного рогатого скота и пластронах — брюшных щитках черепашьих панцирей.</w:t>
      </w:r>
    </w:p>
  </w:footnote>
  <w:footnote w:id="6">
    <w:p>
      <w:pPr>
        <w:pStyle w:val="Normal"/>
        <w:ind w:end="-31" w:hanging="0"/>
        <w:jc w:val="both"/>
        <w:rPr/>
      </w:pPr>
      <w:r>
        <w:rPr>
          <w:rStyle w:val="Style14"/>
        </w:rPr>
        <w:footnoteRef/>
      </w:r>
      <w:r>
        <w:rPr>
          <w:rFonts w:eastAsia="MingLiU;細明體" w:cs="Garamond" w:ascii="Garamond" w:hAnsi="Garamond"/>
        </w:rPr>
        <w:t xml:space="preserve"> </w:t>
      </w:r>
      <w:r>
        <w:rPr>
          <w:rFonts w:eastAsia="MingLiU;細明體" w:cs="Garamond" w:ascii="Garamond" w:hAnsi="Garamond"/>
        </w:rPr>
        <w:t>Скапулимантия — практика гадания на костях животных — была широко распространена во многих обществах, в том числе и в неолитических культурах Восточной Азии. Этот вид гаданий широко практиковался в шанском обществе на протяжении всего времени его существования; параллельно с гадательными костями с надписями существует большое количество просто гадательных костей — без надписей, а также небольшая категория негадательных костей с надписями.</w:t>
      </w:r>
    </w:p>
  </w:footnote>
  <w:footnote w:id="7">
    <w:p>
      <w:pPr>
        <w:pStyle w:val="Normal"/>
        <w:ind w:end="-31" w:hanging="0"/>
        <w:jc w:val="both"/>
        <w:rPr/>
      </w:pPr>
      <w:r>
        <w:rPr>
          <w:rStyle w:val="Style14"/>
        </w:rPr>
        <w:footnoteRef/>
      </w:r>
      <w:r>
        <w:rPr>
          <w:rFonts w:eastAsia="MingLiU;細明體" w:cs="Garamond" w:ascii="Garamond" w:hAnsi="Garamond"/>
        </w:rPr>
        <w:t xml:space="preserve"> </w:t>
      </w:r>
      <w:r>
        <w:rPr>
          <w:rFonts w:eastAsia="MingLiU;細明體" w:cs="Garamond" w:ascii="Garamond" w:hAnsi="Garamond"/>
        </w:rPr>
        <w:t>Погребальный комплекс также иногда называется Сибэйган (</w:t>
      </w:r>
      <w:r>
        <w:rPr>
          <w:rFonts w:ascii="Garamond" w:hAnsi="Garamond" w:eastAsia="MingLiU;細明體"/>
        </w:rPr>
        <w:t>西北</w:t>
      </w:r>
      <w:r>
        <w:rPr>
          <w:rFonts w:ascii="MingLiU_HKSCS-ExtB" w:hAnsi="MingLiU_HKSCS-ExtB" w:cs="MingLiU_HKSCS-ExtB" w:eastAsia="MingLiU_HKSCS-ExtB"/>
        </w:rPr>
        <w:t>岗</w:t>
      </w:r>
      <w:r>
        <w:rPr>
          <w:rFonts w:eastAsia="MingLiU;細明體" w:cs="Garamond" w:ascii="Garamond" w:hAnsi="Garamond"/>
        </w:rPr>
        <w:t>; Северо-западный холм), как называли эту местность жители деревни Хоуцзячжуан, которые ее обрабатывали. Недалеко также находится деревня Угуаньцунь (</w:t>
      </w:r>
      <w:r>
        <w:rPr>
          <w:rFonts w:ascii="Garamond" w:hAnsi="Garamond" w:eastAsia="MingLiU;細明體"/>
          <w:lang w:val="en-US"/>
        </w:rPr>
        <w:t>武官村</w:t>
      </w:r>
      <w:r>
        <w:rPr>
          <w:rFonts w:eastAsia="MingLiU;細明體" w:cs="Garamond" w:ascii="Garamond" w:hAnsi="Garamond"/>
        </w:rPr>
        <w:t>), и некоторые публикации археологических материалов именуют некрополь по этой деревне [</w:t>
      </w:r>
      <w:r>
        <w:rPr>
          <w:rStyle w:val="Style18"/>
          <w:rFonts w:eastAsia="MingLiU;細明體" w:cs="Garamond" w:ascii="Garamond" w:hAnsi="Garamond"/>
          <w:i w:val="false"/>
        </w:rPr>
        <w:t>Li Chi</w:t>
      </w:r>
      <w:r>
        <w:rPr>
          <w:rFonts w:eastAsia="MingLiU;細明體" w:cs="Garamond" w:ascii="Garamond" w:hAnsi="Garamond"/>
        </w:rPr>
        <w:t xml:space="preserve">, 1972, </w:t>
      </w:r>
      <w:r>
        <w:rPr>
          <w:rFonts w:eastAsia="MingLiU;細明體" w:cs="Garamond" w:ascii="Garamond" w:hAnsi="Garamond"/>
          <w:lang w:val="en-US"/>
        </w:rPr>
        <w:t>p</w:t>
      </w:r>
      <w:r>
        <w:rPr>
          <w:rFonts w:eastAsia="MingLiU;細明體" w:cs="Garamond" w:ascii="Garamond" w:hAnsi="Garamond"/>
        </w:rPr>
        <w:t xml:space="preserve">. 76–78; Институт археологии, 1994, </w:t>
      </w:r>
      <w:r>
        <w:rPr>
          <w:rFonts w:eastAsia="MingLiU;細明體" w:cs="Garamond" w:ascii="Garamond" w:hAnsi="Garamond"/>
          <w:lang w:val="en-US"/>
        </w:rPr>
        <w:t>c</w:t>
      </w:r>
      <w:r>
        <w:rPr>
          <w:rFonts w:eastAsia="MingLiU;細明體" w:cs="Garamond" w:ascii="Garamond" w:hAnsi="Garamond"/>
        </w:rPr>
        <w:t>. 100].</w:t>
      </w:r>
    </w:p>
  </w:footnote>
  <w:footnote w:id="8">
    <w:p>
      <w:pPr>
        <w:pStyle w:val="Style30"/>
        <w:ind w:end="-31" w:hanging="0"/>
        <w:jc w:val="both"/>
        <w:rPr/>
      </w:pPr>
      <w:r>
        <w:rPr>
          <w:rStyle w:val="Style14"/>
        </w:rPr>
        <w:footnoteRef/>
      </w:r>
      <w:r>
        <w:rPr>
          <w:rFonts w:eastAsia="MingLiU;細明體" w:cs="Garamond" w:ascii="Garamond" w:hAnsi="Garamond"/>
          <w:sz w:val="20"/>
          <w:szCs w:val="20"/>
        </w:rPr>
        <w:t xml:space="preserve"> </w:t>
      </w:r>
      <w:r>
        <w:rPr>
          <w:rFonts w:eastAsia="MingLiU;細明體" w:cs="Garamond" w:ascii="Garamond" w:hAnsi="Garamond"/>
          <w:sz w:val="20"/>
          <w:szCs w:val="20"/>
        </w:rPr>
        <w:t>Река Хуаньхэ (</w:t>
      </w:r>
      <w:r>
        <w:rPr>
          <w:rFonts w:ascii="Garamond" w:hAnsi="Garamond" w:eastAsia="MingLiU;細明體"/>
          <w:sz w:val="20"/>
          <w:szCs w:val="20"/>
          <w:lang w:val="en-US"/>
        </w:rPr>
        <w:t>洹河</w:t>
      </w:r>
      <w:r>
        <w:rPr>
          <w:rFonts w:eastAsia="MingLiU;細明體" w:cs="Garamond" w:ascii="Garamond" w:hAnsi="Garamond"/>
          <w:sz w:val="20"/>
          <w:szCs w:val="20"/>
        </w:rPr>
        <w:t>) — небольшая река, протекающая через Аньян.</w:t>
      </w:r>
    </w:p>
  </w:footnote>
  <w:footnote w:id="9">
    <w:p>
      <w:pPr>
        <w:pStyle w:val="Normal"/>
        <w:ind w:end="-31" w:hanging="0"/>
        <w:jc w:val="both"/>
        <w:rPr>
          <w:rFonts w:ascii="Garamond" w:hAnsi="Garamond" w:eastAsia="MingLiU;細明體" w:cs="Garamond"/>
        </w:rPr>
      </w:pPr>
      <w:r>
        <w:rPr>
          <w:rStyle w:val="Style14"/>
        </w:rPr>
        <w:footnoteRef/>
      </w:r>
      <w:r>
        <w:rPr>
          <w:rFonts w:eastAsia="MingLiU;細明體" w:cs="Garamond" w:ascii="Garamond" w:hAnsi="Garamond"/>
        </w:rPr>
        <w:t xml:space="preserve"> </w:t>
      </w:r>
      <w:r>
        <w:rPr>
          <w:rFonts w:eastAsia="MingLiU;細明體" w:cs="Garamond" w:ascii="Garamond" w:hAnsi="Garamond"/>
        </w:rPr>
        <w:t xml:space="preserve">Крупнейший некрополь в </w:t>
      </w:r>
      <w:r>
        <w:rPr>
          <w:rStyle w:val="D2edcug0"/>
          <w:rFonts w:eastAsia="MingLiU;細明體" w:cs="Garamond" w:ascii="Garamond" w:hAnsi="Garamond"/>
        </w:rPr>
        <w:t>западном секторе исследуемой местности насчитывает более 2.000 погребений [</w:t>
      </w:r>
      <w:r>
        <w:rPr>
          <w:rStyle w:val="Author"/>
          <w:rFonts w:eastAsia="MingLiU;細明體" w:cs="Garamond" w:ascii="Garamond" w:hAnsi="Garamond"/>
        </w:rPr>
        <w:t>Чэнь Сюй</w:t>
      </w:r>
      <w:r>
        <w:rPr>
          <w:rFonts w:eastAsia="MingLiU;細明體" w:cs="Garamond" w:ascii="Garamond" w:hAnsi="Garamond"/>
        </w:rPr>
        <w:t>, 2001, с. 188–189</w:t>
      </w:r>
      <w:r>
        <w:rPr>
          <w:rStyle w:val="D2edcug0"/>
          <w:rFonts w:eastAsia="MingLiU;細明體" w:cs="Garamond" w:ascii="Garamond" w:hAnsi="Garamond"/>
        </w:rPr>
        <w:t>].</w:t>
      </w:r>
    </w:p>
  </w:footnote>
  <w:footnote w:id="10">
    <w:p>
      <w:pPr>
        <w:pStyle w:val="Normal"/>
        <w:ind w:end="-31" w:hanging="0"/>
        <w:jc w:val="both"/>
        <w:rPr/>
      </w:pPr>
      <w:r>
        <w:rPr>
          <w:rStyle w:val="Style14"/>
        </w:rPr>
        <w:footnoteRef/>
      </w:r>
      <w:r>
        <w:rPr>
          <w:rFonts w:eastAsia="MingLiU;細明體" w:cs="Garamond" w:ascii="Garamond" w:hAnsi="Garamond"/>
        </w:rPr>
        <w:t xml:space="preserve"> </w:t>
      </w:r>
      <w:r>
        <w:rPr>
          <w:rFonts w:eastAsia="MingLiU;細明體" w:cs="Garamond" w:ascii="Garamond" w:hAnsi="Garamond"/>
        </w:rPr>
        <w:t xml:space="preserve">«Впоследствии, приезжая представиться [правителю] Чжоу и проезжая развалины столицы прежней династии Инь, он переживал то, что дворцы и палаты столицы лежат в руинах, заросли злаками и просом» </w:t>
      </w:r>
      <w:r>
        <w:rPr>
          <w:rFonts w:ascii="Garamond" w:hAnsi="Garamond" w:cs="Garamond" w:eastAsia="MingLiU;細明體"/>
        </w:rPr>
        <w:t>《其后箕子朝周，過故殷虛，感宮室毀壞，生禾黍，箕子傷之《世家》《宋微子世家》</w:t>
      </w:r>
      <w:r>
        <w:rPr>
          <w:rFonts w:eastAsia="MingLiU;細明體" w:cs="Garamond" w:ascii="Garamond" w:hAnsi="Garamond"/>
        </w:rPr>
        <w:t>[Сыма Цянь, 1987, с. 129].</w:t>
      </w:r>
    </w:p>
  </w:footnote>
  <w:footnote w:id="11">
    <w:p>
      <w:pPr>
        <w:pStyle w:val="Normal"/>
        <w:ind w:end="-31" w:hanging="0"/>
        <w:jc w:val="both"/>
        <w:rPr/>
      </w:pPr>
      <w:r>
        <w:rPr>
          <w:rStyle w:val="Style14"/>
        </w:rPr>
        <w:footnoteRef/>
      </w:r>
      <w:r>
        <w:rPr>
          <w:rFonts w:ascii="Garamond" w:hAnsi="Garamond" w:eastAsia="MingLiU;細明體"/>
        </w:rPr>
        <w:t>全国重点文物保</w:t>
      </w:r>
      <w:r>
        <w:rPr>
          <w:rFonts w:ascii="MingLiU_HKSCS-ExtB" w:hAnsi="MingLiU_HKSCS-ExtB" w:cs="MingLiU_HKSCS-ExtB" w:eastAsia="MingLiU_HKSCS-ExtB"/>
        </w:rPr>
        <w:t>护</w:t>
      </w:r>
      <w:r>
        <w:rPr>
          <w:rFonts w:ascii="Garamond" w:hAnsi="Garamond" w:eastAsia="MingLiU;細明體"/>
        </w:rPr>
        <w:t>单位</w:t>
      </w:r>
      <w:r>
        <w:rPr>
          <w:rFonts w:eastAsia="MingLiU;細明體" w:cs="Garamond" w:ascii="Garamond" w:hAnsi="Garamond"/>
        </w:rPr>
        <w:t>.</w:t>
      </w:r>
    </w:p>
  </w:footnote>
  <w:footnote w:id="12">
    <w:p>
      <w:pPr>
        <w:pStyle w:val="Normal"/>
        <w:ind w:end="-31" w:hanging="0"/>
        <w:jc w:val="both"/>
        <w:rPr/>
      </w:pPr>
      <w:r>
        <w:rPr>
          <w:rStyle w:val="Style14"/>
        </w:rPr>
        <w:footnoteRef/>
      </w:r>
      <w:r>
        <w:rPr>
          <w:rFonts w:eastAsia="MingLiU;細明體" w:cs="Garamond" w:ascii="Garamond" w:hAnsi="Garamond"/>
        </w:rPr>
        <w:t xml:space="preserve"> </w:t>
      </w:r>
      <w:r>
        <w:rPr>
          <w:rFonts w:eastAsia="MingLiU;細明體" w:cs="Garamond" w:ascii="Garamond" w:hAnsi="Garamond"/>
        </w:rPr>
        <w:t>Например, ряд исследователей считает, что нет убедительных оснований датировать надписи периодом, предшествующим правлению вана У Дина; таким образом, НГК </w:t>
      </w:r>
      <w:r>
        <w:rPr>
          <w:rFonts w:eastAsia="MingLiU;細明體" w:cs="Garamond" w:ascii="Garamond" w:hAnsi="Garamond"/>
          <w:lang w:val="en-US"/>
        </w:rPr>
        <w:t>I</w:t>
      </w:r>
      <w:r>
        <w:rPr>
          <w:rFonts w:eastAsia="MingLiU;細明體" w:cs="Garamond" w:ascii="Garamond" w:hAnsi="Garamond"/>
        </w:rPr>
        <w:t xml:space="preserve"> периода фактически полностью относятся только к периоду царствования У Дина.</w:t>
      </w:r>
    </w:p>
  </w:footnote>
  <w:footnote w:id="13">
    <w:p>
      <w:pPr>
        <w:pStyle w:val="Normal"/>
        <w:ind w:end="-31" w:hanging="0"/>
        <w:jc w:val="both"/>
        <w:rPr/>
      </w:pPr>
      <w:r>
        <w:rPr>
          <w:rStyle w:val="Style14"/>
        </w:rPr>
        <w:footnoteRef/>
      </w:r>
      <w:r>
        <w:rPr>
          <w:rFonts w:eastAsia="MingLiU;細明體" w:cs="Garamond" w:ascii="Garamond" w:hAnsi="Garamond"/>
        </w:rPr>
        <w:t xml:space="preserve"> </w:t>
      </w:r>
      <w:r>
        <w:rPr>
          <w:rFonts w:eastAsia="MingLiU;細明體" w:cs="Garamond" w:ascii="Garamond" w:hAnsi="Garamond"/>
        </w:rPr>
        <w:t>Критериями служат упоминания умерших родственников; об археологических критериях датирования гадательных костей см. в следующем разделе.</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single" w:sz="12" w:space="0" w:color="000000"/>
          </w:tcBorders>
        </w:tcPr>
        <w:p>
          <w:pPr>
            <w:pStyle w:val="Style31"/>
            <w:jc w:val="center"/>
            <w:rPr>
              <w:rFonts w:ascii="Garamond" w:hAnsi="Garamond" w:cs="Garamond"/>
              <w:color w:val="000000"/>
            </w:rPr>
          </w:pPr>
          <w:r>
            <w:rPr>
              <w:rFonts w:eastAsia="MingLiU;細明體" w:cs="Garamond" w:ascii="Garamond" w:hAnsi="Garamond"/>
            </w:rPr>
            <w:t xml:space="preserve">Кузнецова-Фетисова М. Е. Хронология </w:t>
          </w:r>
          <w:r>
            <w:rPr>
              <w:rFonts w:eastAsia="MingLiU;細明體" w:cs="Garamond" w:ascii="Garamond" w:hAnsi="Garamond"/>
              <w:lang w:val="en-US"/>
            </w:rPr>
            <w:t>II</w:t>
          </w:r>
          <w:r>
            <w:rPr>
              <w:rFonts w:eastAsia="MingLiU;細明體" w:cs="Garamond" w:ascii="Garamond" w:hAnsi="Garamond"/>
            </w:rPr>
            <w:t> тыс. до н. э. и «Великий город Шан (</w:t>
          </w:r>
          <w:r>
            <w:rPr>
              <w:rFonts w:eastAsia="MingLiU;細明體" w:cs="Garamond" w:ascii="Garamond" w:hAnsi="Garamond"/>
              <w:lang w:val="en-US"/>
            </w:rPr>
            <w:t>XIV</w:t>
          </w:r>
          <w:r>
            <w:rPr>
              <w:rFonts w:eastAsia="MingLiU;細明體" w:cs="Garamond" w:ascii="Garamond" w:hAnsi="Garamond"/>
            </w:rPr>
            <w:t>–</w:t>
          </w:r>
          <w:r>
            <w:rPr>
              <w:rFonts w:eastAsia="MingLiU;細明體" w:cs="Garamond" w:ascii="Garamond" w:hAnsi="Garamond"/>
              <w:lang w:val="en-US"/>
            </w:rPr>
            <w:t>XI</w:t>
          </w:r>
          <w:r>
            <w:rPr>
              <w:rFonts w:eastAsia="MingLiU;細明體" w:cs="Garamond" w:ascii="Garamond" w:hAnsi="Garamond"/>
            </w:rPr>
            <w:t> вв. до н. э.)...</w:t>
          </w:r>
        </w:p>
        <w:p>
          <w:pPr>
            <w:pStyle w:val="Style31"/>
            <w:jc w:val="center"/>
            <w:rPr>
              <w:rFonts w:ascii="Garamond" w:hAnsi="Garamond" w:cs="Garamond"/>
              <w:color w:val="000000"/>
              <w:sz w:val="8"/>
              <w:szCs w:val="8"/>
            </w:rPr>
          </w:pPr>
          <w:r>
            <w:rPr>
              <w:rFonts w:cs="Garamond" w:ascii="Garamond" w:hAnsi="Garamond"/>
              <w:color w:val="000000"/>
              <w:sz w:val="8"/>
              <w:szCs w:val="8"/>
            </w:rPr>
          </w:r>
        </w:p>
      </w:tc>
    </w:tr>
  </w:tbl>
  <w:p>
    <w:pPr>
      <w:pStyle w:val="Style3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pStyle w:val="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50"/>
  <w:defaultTabStop w:val="709"/>
  <w:autoHyphenation w:val="true"/>
  <w:footnotePr>
    <w:numFmt w:val="chicago"/>
    <w:numRestart w:val="eachSect"/>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5">
    <w:name w:val="Heading 5"/>
    <w:basedOn w:val="Normal"/>
    <w:next w:val="Style24"/>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3">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4">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3"/>
    <w:qFormat/>
    <w:rPr/>
  </w:style>
  <w:style w:type="character" w:styleId="Heading5Char">
    <w:name w:val="Heading 5 Char"/>
    <w:qFormat/>
    <w:rPr>
      <w:rFonts w:ascii="Times" w:hAnsi="Times" w:cs="Times"/>
      <w:b/>
      <w:bCs/>
      <w:sz w:val="20"/>
      <w:szCs w:val="20"/>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character" w:styleId="Style17">
    <w:name w:val="Номер страницы"/>
    <w:basedOn w:val="Style13"/>
    <w:rPr/>
  </w:style>
  <w:style w:type="character" w:styleId="Style18">
    <w:name w:val="Выделение"/>
    <w:basedOn w:val="Style13"/>
    <w:qFormat/>
    <w:rPr>
      <w:i/>
      <w:iCs/>
    </w:rPr>
  </w:style>
  <w:style w:type="character" w:styleId="D2edcug0">
    <w:name w:val="d2edcug0"/>
    <w:basedOn w:val="Style13"/>
    <w:qFormat/>
    <w:rPr>
      <w:rFonts w:cs="Times New Roman"/>
    </w:rPr>
  </w:style>
  <w:style w:type="character" w:styleId="Author">
    <w:name w:val="author"/>
    <w:basedOn w:val="Style13"/>
    <w:qFormat/>
    <w:rPr>
      <w:rFonts w:cs="Times New Roman"/>
    </w:rPr>
  </w:style>
  <w:style w:type="character" w:styleId="Acopre">
    <w:name w:val="acopre"/>
    <w:basedOn w:val="Style13"/>
    <w:qFormat/>
    <w:rPr>
      <w:rFonts w:cs="Times New Roman"/>
    </w:rPr>
  </w:style>
  <w:style w:type="character" w:styleId="Orcididhttps">
    <w:name w:val="orcid-id-https"/>
    <w:basedOn w:val="Style13"/>
    <w:qFormat/>
    <w:rPr>
      <w:rFonts w:cs="Times New Roman"/>
    </w:rPr>
  </w:style>
  <w:style w:type="character" w:styleId="Citation">
    <w:name w:val="citation"/>
    <w:basedOn w:val="Style13"/>
    <w:qFormat/>
    <w:rPr>
      <w:rFonts w:cs="Times New Roman"/>
    </w:rPr>
  </w:style>
  <w:style w:type="character" w:styleId="Style19">
    <w:name w:val=" Знак Знак"/>
    <w:qFormat/>
    <w:rPr>
      <w:lang w:val="ru-RU" w:bidi="ar-SA"/>
    </w:rPr>
  </w:style>
  <w:style w:type="character" w:styleId="WW8Dropcap0">
    <w:name w:val="WW8Dropcap0"/>
    <w:qFormat/>
    <w:rPr>
      <w:rFonts w:ascii="Garamond" w:hAnsi="Garamond" w:eastAsia="MingLiU;細明體" w:cs="Garamond"/>
      <w:sz w:val="112"/>
      <w:szCs w:val="112"/>
    </w:rPr>
  </w:style>
  <w:style w:type="character" w:styleId="Style20">
    <w:name w:val="Привязка сноски"/>
    <w:rPr>
      <w:vertAlign w:val="superscript"/>
    </w:rPr>
  </w:style>
  <w:style w:type="character" w:styleId="Style21">
    <w:name w:val="Привязка концевой сноски"/>
    <w:rPr>
      <w:vertAlign w:val="superscript"/>
    </w:rPr>
  </w:style>
  <w:style w:type="character" w:styleId="Style22">
    <w:name w:val="Символ концевой сноски"/>
    <w:qFormat/>
    <w:rPr/>
  </w:style>
  <w:style w:type="paragraph" w:styleId="Style23">
    <w:name w:val="Заголовок"/>
    <w:basedOn w:val="Normal"/>
    <w:next w:val="Style24"/>
    <w:qFormat/>
    <w:pPr>
      <w:keepNext w:val="true"/>
      <w:spacing w:before="240" w:after="120"/>
    </w:pPr>
    <w:rPr>
      <w:rFonts w:ascii="Liberation Sans" w:hAnsi="Liberation Sans" w:eastAsia="Noto Sans CJK SC" w:cs="Lohit Devanagari"/>
      <w:sz w:val="28"/>
      <w:szCs w:val="28"/>
    </w:rPr>
  </w:style>
  <w:style w:type="paragraph" w:styleId="Style24">
    <w:name w:val="Body Text"/>
    <w:basedOn w:val="Normal"/>
    <w:pPr>
      <w:widowControl w:val="false"/>
      <w:autoSpaceDE w:val="false"/>
      <w:ind w:start="40" w:hanging="0"/>
    </w:pPr>
    <w:rPr>
      <w:rFonts w:eastAsia="MS Mincho;MS Gothic"/>
      <w:b/>
      <w:bCs/>
      <w:sz w:val="18"/>
      <w:szCs w:val="18"/>
      <w:lang w:val="en-US"/>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rPr>
  </w:style>
  <w:style w:type="paragraph" w:styleId="Style28">
    <w:name w:val="Верхний и нижний колонтитулы"/>
    <w:basedOn w:val="Normal"/>
    <w:qFormat/>
    <w:pPr>
      <w:suppressLineNumbers/>
      <w:tabs>
        <w:tab w:val="clear" w:pos="709"/>
        <w:tab w:val="center" w:pos="4819" w:leader="none"/>
        <w:tab w:val="right" w:pos="9638" w:leader="none"/>
      </w:tabs>
    </w:pPr>
    <w:rPr/>
  </w:style>
  <w:style w:type="paragraph" w:styleId="Style29">
    <w:name w:val="Footer"/>
    <w:basedOn w:val="Normal"/>
    <w:pPr/>
    <w:rPr/>
  </w:style>
  <w:style w:type="paragraph" w:styleId="Style30">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31">
    <w:name w:val="Header"/>
    <w:basedOn w:val="Normal"/>
    <w:pPr>
      <w:tabs>
        <w:tab w:val="clear" w:pos="709"/>
        <w:tab w:val="center" w:pos="4677" w:leader="none"/>
        <w:tab w:val="right" w:pos="9355" w:leader="none"/>
      </w:tabs>
    </w:pPr>
    <w:rPr/>
  </w:style>
  <w:style w:type="paragraph" w:styleId="Style32">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NoSpacing">
    <w:name w:val="No Spacing"/>
    <w:qFormat/>
    <w:pPr>
      <w:widowControl/>
      <w:bidi w:val="0"/>
    </w:pPr>
    <w:rPr>
      <w:rFonts w:ascii="Calibri" w:hAnsi="Calibri" w:eastAsia="SimSun;宋体" w:cs="Calibri"/>
      <w:color w:val="auto"/>
      <w:sz w:val="22"/>
      <w:szCs w:val="22"/>
      <w:lang w:val="ru-RU" w:eastAsia="zh-CN" w:bidi="ar-SA"/>
    </w:rPr>
  </w:style>
  <w:style w:type="paragraph" w:styleId="Style33">
    <w:name w:val="Содержимое таблицы"/>
    <w:basedOn w:val="Normal"/>
    <w:qFormat/>
    <w:pPr>
      <w:widowControl w:val="false"/>
      <w:suppressLineNumbers/>
    </w:pPr>
    <w:rPr/>
  </w:style>
  <w:style w:type="paragraph" w:styleId="Style34">
    <w:name w:val="Заголовок таблицы"/>
    <w:basedOn w:val="Style33"/>
    <w:qFormat/>
    <w:pPr>
      <w:suppressLineNumbers/>
      <w:jc w:val="center"/>
    </w:pPr>
    <w:rPr>
      <w:b/>
      <w:bCs/>
    </w:rPr>
  </w:style>
  <w:style w:type="paragraph" w:styleId="Style35">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header" Target="header1.xml"/><Relationship Id="rId5"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309</TotalTime>
  <Application>LibreOffice/7.0.3.1$Linux_X86_64 LibreOffice_project/00$Build-1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2018-03-18T22:15:00Z</dcterms:created>
  <dc:creator>Vestnik IOS RAS</dc:creator>
  <dc:description/>
  <cp:keywords> </cp:keywords>
  <dc:language>ru-RU</dc:language>
  <cp:lastModifiedBy>Malykh</cp:lastModifiedBy>
  <dcterms:modified xsi:type="dcterms:W3CDTF">2020-12-16T00:00:00Z</dcterms:modified>
  <cp:revision>218</cp:revision>
  <dc:subject/>
  <dc:title>РУБРИКА: РЕЦЕНЗИИ; к юбилею ИВ РАН (</dc:title>
</cp:coreProperties>
</file>