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5.png" ContentType="image/png"/>
  <Override PartName="/word/media/image2.jpeg" ContentType="image/jpeg"/>
  <Override PartName="/word/media/image3.png" ContentType="image/png"/>
  <Override PartName="/word/media/image4.png" ContentType="image/png"/>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W w:w="8820" w:type="dxa"/>
        <w:jc w:val="start"/>
        <w:tblInd w:w="0" w:type="dxa"/>
        <w:tblLayout w:type="fixed"/>
        <w:tblCellMar>
          <w:top w:w="0" w:type="dxa"/>
          <w:start w:w="108" w:type="dxa"/>
          <w:bottom w:w="0" w:type="dxa"/>
          <w:end w:w="108" w:type="dxa"/>
        </w:tblCellMar>
      </w:tblPr>
      <w:tblGrid>
        <w:gridCol w:w="8820"/>
      </w:tblGrid>
      <w:tr>
        <w:trPr/>
        <w:tc>
          <w:tcPr>
            <w:tcW w:w="8820" w:type="dxa"/>
            <w:tcBorders>
              <w:bottom w:val="thickThinMediumGap" w:sz="24" w:space="0" w:color="000000"/>
            </w:tcBorders>
          </w:tcPr>
          <w:p>
            <w:pPr>
              <w:pStyle w:val="Normal"/>
              <w:snapToGrid w:val="false"/>
              <w:ind w:end="-31" w:hanging="0"/>
              <w:jc w:val="center"/>
              <w:rPr>
                <w:rFonts w:ascii="Garamond" w:hAnsi="Garamond" w:cs="Garamond"/>
                <w:b/>
                <w:b/>
                <w:caps/>
                <w:sz w:val="12"/>
                <w:szCs w:val="12"/>
              </w:rPr>
            </w:pPr>
            <w:r>
              <w:rPr>
                <w:rFonts w:cs="Garamond" w:ascii="Garamond" w:hAnsi="Garamond"/>
                <w:b/>
                <w:caps/>
                <w:sz w:val="12"/>
                <w:szCs w:val="12"/>
              </w:rPr>
            </w:r>
          </w:p>
        </w:tc>
      </w:tr>
    </w:tbl>
    <w:p>
      <w:pPr>
        <w:pStyle w:val="Normal"/>
        <w:ind w:end="-31" w:hanging="0"/>
        <w:jc w:val="center"/>
        <w:rPr>
          <w:rFonts w:ascii="Garamond" w:hAnsi="Garamond" w:cs="Garamond"/>
          <w:caps/>
          <w:sz w:val="24"/>
          <w:szCs w:val="24"/>
        </w:rPr>
      </w:pPr>
      <w:r>
        <w:rPr>
          <w:rFonts w:cs="Garamond" w:ascii="Garamond" w:hAnsi="Garamond"/>
          <w:caps/>
          <w:sz w:val="24"/>
          <w:szCs w:val="24"/>
        </w:rPr>
      </w:r>
    </w:p>
    <w:p>
      <w:pPr>
        <w:pStyle w:val="Normal"/>
        <w:ind w:end="-31" w:hanging="0"/>
        <w:jc w:val="center"/>
        <w:rPr>
          <w:rFonts w:ascii="Garamond" w:hAnsi="Garamond" w:cs="Garamond"/>
          <w:caps/>
          <w:sz w:val="24"/>
          <w:szCs w:val="24"/>
        </w:rPr>
      </w:pPr>
      <w:r>
        <w:rPr>
          <w:rFonts w:cs="Garamond" w:ascii="Garamond" w:hAnsi="Garamond"/>
          <w:caps/>
          <w:sz w:val="24"/>
          <w:szCs w:val="24"/>
        </w:rPr>
      </w:r>
    </w:p>
    <w:p>
      <w:pPr>
        <w:pStyle w:val="Normal"/>
        <w:ind w:end="-31" w:hanging="0"/>
        <w:rPr>
          <w:rFonts w:ascii="Garamond" w:hAnsi="Garamond" w:eastAsia="MingLiU;細明體" w:cs="Garamond"/>
          <w:sz w:val="24"/>
          <w:szCs w:val="24"/>
          <w:lang w:val="en-US"/>
        </w:rPr>
      </w:pPr>
      <w:r>
        <w:rPr>
          <w:rFonts w:eastAsia="MingLiU;細明體" w:cs="Garamond" w:ascii="Garamond" w:hAnsi="Garamond"/>
          <w:sz w:val="24"/>
          <w:szCs w:val="24"/>
          <w:lang w:val="en-US"/>
        </w:rPr>
        <w:t>DOI</w:t>
      </w:r>
      <w:r>
        <w:rPr>
          <w:rFonts w:eastAsia="MingLiU;細明體" w:cs="Garamond" w:ascii="Garamond" w:hAnsi="Garamond"/>
          <w:sz w:val="24"/>
          <w:szCs w:val="24"/>
        </w:rPr>
        <w:t>: 10.31696/2618-7302-2020-4-126-</w:t>
      </w:r>
      <w:r>
        <w:rPr>
          <w:rFonts w:eastAsia="MingLiU;細明體" w:cs="Garamond" w:ascii="Garamond" w:hAnsi="Garamond"/>
          <w:sz w:val="24"/>
          <w:szCs w:val="24"/>
          <w:lang w:val="en-US"/>
        </w:rPr>
        <w:t>135</w:t>
      </w:r>
    </w:p>
    <w:p>
      <w:pPr>
        <w:pStyle w:val="Normal"/>
        <w:ind w:end="-31" w:hanging="0"/>
        <w:rPr>
          <w:rFonts w:ascii="Garamond" w:hAnsi="Garamond" w:eastAsia="MingLiU;細明體" w:cs="Garamond"/>
          <w:b/>
          <w:b/>
          <w:bCs/>
          <w:sz w:val="24"/>
          <w:szCs w:val="24"/>
          <w:lang w:val="en-US"/>
        </w:rPr>
      </w:pPr>
      <w:r>
        <w:rPr>
          <w:rFonts w:eastAsia="MingLiU;細明體" w:cs="Garamond" w:ascii="Garamond" w:hAnsi="Garamond"/>
          <w:b/>
          <w:bCs/>
          <w:sz w:val="24"/>
          <w:szCs w:val="24"/>
          <w:lang w:val="en-US"/>
        </w:rPr>
      </w:r>
    </w:p>
    <w:p>
      <w:pPr>
        <w:pStyle w:val="Normal"/>
        <w:spacing w:lineRule="auto" w:line="360"/>
        <w:ind w:end="-31" w:hanging="0"/>
        <w:jc w:val="center"/>
        <w:rPr>
          <w:rFonts w:ascii="Garamond" w:hAnsi="Garamond" w:eastAsia="MingLiU;細明體" w:cs="Garamond"/>
          <w:b/>
          <w:b/>
          <w:bCs/>
          <w:sz w:val="26"/>
          <w:szCs w:val="26"/>
        </w:rPr>
      </w:pPr>
      <w:r>
        <w:rPr>
          <w:rFonts w:eastAsia="MingLiU;細明體" w:cs="Garamond" w:ascii="Garamond" w:hAnsi="Garamond"/>
          <w:b/>
          <w:bCs/>
          <w:sz w:val="26"/>
          <w:szCs w:val="26"/>
        </w:rPr>
        <w:t>ИСКЛЮЧЕНИЕ ИЗ ПРАВИЛА: КАК ГЕНИЙ АДАПТАЦИИ</w:t>
      </w:r>
    </w:p>
    <w:p>
      <w:pPr>
        <w:pStyle w:val="Normal"/>
        <w:spacing w:lineRule="auto" w:line="360"/>
        <w:ind w:end="-31" w:hanging="0"/>
        <w:jc w:val="center"/>
        <w:rPr>
          <w:rFonts w:ascii="Garamond" w:hAnsi="Garamond" w:eastAsia="MingLiU;細明體" w:cs="Garamond"/>
          <w:b/>
          <w:b/>
          <w:bCs/>
          <w:sz w:val="26"/>
          <w:szCs w:val="26"/>
        </w:rPr>
      </w:pPr>
      <w:r>
        <w:rPr>
          <w:rFonts w:eastAsia="MingLiU;細明體" w:cs="Garamond" w:ascii="Garamond" w:hAnsi="Garamond"/>
          <w:b/>
          <w:bCs/>
          <w:sz w:val="26"/>
          <w:szCs w:val="26"/>
        </w:rPr>
        <w:t>МАТТЕО РИЧЧИ НЕ СУМЕЛ ПОНЯТЬ КИТАЙСКУЮ ЖИВОПИСЬ</w:t>
      </w:r>
    </w:p>
    <w:p>
      <w:pPr>
        <w:pStyle w:val="Normal"/>
        <w:spacing w:lineRule="auto" w:line="360"/>
        <w:ind w:end="-31" w:hanging="0"/>
        <w:jc w:val="both"/>
        <w:rPr>
          <w:rFonts w:ascii="Garamond" w:hAnsi="Garamond" w:eastAsia="MingLiU;細明體" w:cs="Garamond"/>
          <w:sz w:val="24"/>
          <w:szCs w:val="24"/>
        </w:rPr>
      </w:pPr>
      <w:r>
        <w:rPr>
          <w:rFonts w:eastAsia="MingLiU;細明體" w:cs="Garamond" w:ascii="Garamond" w:hAnsi="Garamond"/>
          <w:sz w:val="24"/>
          <w:szCs w:val="24"/>
        </w:rPr>
        <w:t xml:space="preserve">© 2020 </w:t>
        <w:tab/>
        <w:tab/>
        <w:tab/>
        <w:t xml:space="preserve">      </w:t>
      </w:r>
      <w:r>
        <w:rPr>
          <w:rFonts w:eastAsia="MingLiU;細明體" w:cs="Garamond" w:ascii="Garamond" w:hAnsi="Garamond"/>
          <w:b/>
          <w:sz w:val="26"/>
          <w:szCs w:val="26"/>
        </w:rPr>
        <w:t>Д. В. Дубровская</w:t>
      </w:r>
      <w:r>
        <w:rPr>
          <w:rStyle w:val="Style13"/>
          <w:rStyle w:val="Style19"/>
          <w:rFonts w:eastAsia="MingLiU;細明體" w:cs="Garamond" w:ascii="Garamond" w:hAnsi="Garamond"/>
          <w:sz w:val="26"/>
          <w:szCs w:val="26"/>
        </w:rPr>
        <w:footnoteReference w:id="2"/>
      </w:r>
    </w:p>
    <w:p>
      <w:pPr>
        <w:pStyle w:val="Normal"/>
        <w:ind w:end="-31" w:firstLine="720"/>
        <w:jc w:val="both"/>
        <w:rPr/>
      </w:pPr>
      <w:r>
        <w:rPr>
          <w:rFonts w:eastAsia="MingLiU;細明體" w:cs="Garamond" w:ascii="Garamond" w:hAnsi="Garamond"/>
          <w:sz w:val="22"/>
          <w:szCs w:val="22"/>
        </w:rPr>
        <w:t>Статья посвящена интересному случаю художественной аккомодации, которая по целому ряду причин не случилась во времена лидера и одного из основателей миссии иезуитов в Китае Маттео Риччи (1552–1610), успешного проповедника и автора «правил Маттео Риччи», обосновывавших необходимость адаптировать миссионерскую деятельность и проповедь к верованиям, традициям и культуре страны пребывания. Автор выбирает для анализа две противоположные фигуры — китайского иезуита второго поколения, провинциального художника-пейзажиста У Ли (</w:t>
      </w:r>
      <w:r>
        <w:rPr>
          <w:rFonts w:eastAsia="MingLiU;細明體" w:cs="Garamond" w:ascii="Garamond" w:hAnsi="Garamond"/>
          <w:bCs/>
          <w:sz w:val="22"/>
          <w:szCs w:val="22"/>
        </w:rPr>
        <w:t>1632–1718</w:t>
      </w:r>
      <w:r>
        <w:rPr>
          <w:rFonts w:eastAsia="MingLiU;細明體" w:cs="Garamond" w:ascii="Garamond" w:hAnsi="Garamond"/>
          <w:sz w:val="22"/>
          <w:szCs w:val="22"/>
        </w:rPr>
        <w:t>) и итальянского художника, работавшего при дворе императоров маньчжурской династии Цин Джузеппе Кастильоне (Лан Шинина; 1688–1766), пытаясь показать, какой путь прошла адаптация художественных приемов со времен основателя миссии Маттео Риччи, не принимавшего и не понимавшего китайскую живопись, и У Ли, не видевшего ценности живописи европейской, до Лан Шинина и его заказчиков — цинских императоров, создавших утонченный «оксиденталистский» стиль, сочетавший черты западной и китайской живописи. Автор приходит к выводу, что Маттео Риччи, пусть и использовавший в проповеди визуальные материалы в качестве подспорья устной проповеди, упускал огромную возможность «проповеди кистью», тогда как Джузеппе Кастильоне и его коллеги — европейские мастера, трудившиеся при дворе, по сути продолжали использовать «правила Риччи» и аккомодативный метод проповеди через адаптацию приемов европейской живописи к китайской, воспользовавшись соответствующим заказом представителей некитайской династии.</w:t>
      </w:r>
    </w:p>
    <w:p>
      <w:pPr>
        <w:pStyle w:val="Normal"/>
        <w:ind w:end="-31" w:firstLine="720"/>
        <w:jc w:val="both"/>
        <w:rPr>
          <w:rFonts w:ascii="Garamond" w:hAnsi="Garamond" w:eastAsia="MingLiU;細明體" w:cs="Garamond"/>
          <w:sz w:val="22"/>
          <w:szCs w:val="22"/>
        </w:rPr>
      </w:pPr>
      <w:r>
        <w:rPr>
          <w:rFonts w:eastAsia="MingLiU;細明體" w:cs="Garamond" w:ascii="Garamond" w:hAnsi="Garamond"/>
          <w:i/>
          <w:iCs/>
          <w:sz w:val="22"/>
          <w:szCs w:val="22"/>
        </w:rPr>
        <w:t>Ключевые слова:</w:t>
      </w:r>
      <w:r>
        <w:rPr>
          <w:rFonts w:eastAsia="MingLiU;細明體" w:cs="Garamond" w:ascii="Garamond" w:hAnsi="Garamond"/>
          <w:sz w:val="22"/>
          <w:szCs w:val="22"/>
        </w:rPr>
        <w:t xml:space="preserve"> Джузеппе Кастильоне, художники-иезуиты, Маттео Риччи, У Ли, китайская живопись, миссия иезуитов в Китае.</w:t>
      </w:r>
    </w:p>
    <w:p>
      <w:pPr>
        <w:pStyle w:val="Normal"/>
        <w:ind w:end="-31" w:firstLine="720"/>
        <w:jc w:val="both"/>
        <w:rPr>
          <w:rFonts w:ascii="Garamond" w:hAnsi="Garamond" w:eastAsia="MingLiU;細明體" w:cs="Garamond"/>
          <w:sz w:val="22"/>
          <w:szCs w:val="22"/>
          <w:lang w:val="en-US"/>
        </w:rPr>
      </w:pPr>
      <w:r>
        <w:rPr>
          <w:rFonts w:eastAsia="MingLiU;細明體" w:cs="Garamond" w:ascii="Garamond" w:hAnsi="Garamond"/>
          <w:i/>
          <w:iCs/>
          <w:sz w:val="22"/>
          <w:szCs w:val="22"/>
        </w:rPr>
        <w:t>Для цитирования:</w:t>
      </w:r>
      <w:r>
        <w:rPr>
          <w:rFonts w:eastAsia="MingLiU;細明體" w:cs="Garamond" w:ascii="Garamond" w:hAnsi="Garamond"/>
          <w:sz w:val="22"/>
          <w:szCs w:val="22"/>
        </w:rPr>
        <w:t xml:space="preserve"> Дубровская Д. В. Исключение из правила: как гений адаптации Маттео Риччи не сумел понять китайскую живопись. </w:t>
      </w:r>
      <w:r>
        <w:rPr>
          <w:rFonts w:eastAsia="MingLiU;細明體" w:cs="Garamond" w:ascii="Garamond" w:hAnsi="Garamond"/>
          <w:i/>
          <w:iCs/>
          <w:sz w:val="22"/>
          <w:szCs w:val="22"/>
        </w:rPr>
        <w:t>Вестник</w:t>
      </w:r>
      <w:r>
        <w:rPr>
          <w:rFonts w:eastAsia="MingLiU;細明體" w:cs="Garamond" w:ascii="Garamond" w:hAnsi="Garamond"/>
          <w:i/>
          <w:iCs/>
          <w:sz w:val="22"/>
          <w:szCs w:val="22"/>
          <w:lang w:val="en-US"/>
        </w:rPr>
        <w:t xml:space="preserve"> </w:t>
      </w:r>
      <w:r>
        <w:rPr>
          <w:rFonts w:eastAsia="MingLiU;細明體" w:cs="Garamond" w:ascii="Garamond" w:hAnsi="Garamond"/>
          <w:i/>
          <w:iCs/>
          <w:sz w:val="22"/>
          <w:szCs w:val="22"/>
        </w:rPr>
        <w:t>Института</w:t>
      </w:r>
      <w:r>
        <w:rPr>
          <w:rFonts w:eastAsia="MingLiU;細明體" w:cs="Garamond" w:ascii="Garamond" w:hAnsi="Garamond"/>
          <w:i/>
          <w:iCs/>
          <w:sz w:val="22"/>
          <w:szCs w:val="22"/>
          <w:lang w:val="en-US"/>
        </w:rPr>
        <w:t xml:space="preserve"> </w:t>
      </w:r>
      <w:r>
        <w:rPr>
          <w:rFonts w:eastAsia="MingLiU;細明體" w:cs="Garamond" w:ascii="Garamond" w:hAnsi="Garamond"/>
          <w:i/>
          <w:iCs/>
          <w:sz w:val="22"/>
          <w:szCs w:val="22"/>
        </w:rPr>
        <w:t>востоковедения</w:t>
      </w:r>
      <w:r>
        <w:rPr>
          <w:rFonts w:eastAsia="MingLiU;細明體" w:cs="Garamond" w:ascii="Garamond" w:hAnsi="Garamond"/>
          <w:i/>
          <w:iCs/>
          <w:sz w:val="22"/>
          <w:szCs w:val="22"/>
          <w:lang w:val="en-US"/>
        </w:rPr>
        <w:t xml:space="preserve"> </w:t>
      </w:r>
      <w:r>
        <w:rPr>
          <w:rFonts w:eastAsia="MingLiU;細明體" w:cs="Garamond" w:ascii="Garamond" w:hAnsi="Garamond"/>
          <w:i/>
          <w:iCs/>
          <w:sz w:val="22"/>
          <w:szCs w:val="22"/>
        </w:rPr>
        <w:t>РАН</w:t>
      </w:r>
      <w:r>
        <w:rPr>
          <w:rFonts w:eastAsia="MingLiU;細明體" w:cs="Garamond" w:ascii="Garamond" w:hAnsi="Garamond"/>
          <w:i/>
          <w:iCs/>
          <w:sz w:val="22"/>
          <w:szCs w:val="22"/>
          <w:lang w:val="en-US"/>
        </w:rPr>
        <w:t>.</w:t>
      </w:r>
      <w:r>
        <w:rPr>
          <w:rFonts w:eastAsia="MingLiU;細明體" w:cs="Garamond" w:ascii="Garamond" w:hAnsi="Garamond"/>
          <w:sz w:val="22"/>
          <w:szCs w:val="22"/>
          <w:lang w:val="en-US"/>
        </w:rPr>
        <w:t xml:space="preserve"> 2020. № 4. </w:t>
      </w:r>
      <w:r>
        <w:rPr>
          <w:rFonts w:eastAsia="MingLiU;細明體" w:cs="Garamond" w:ascii="Garamond" w:hAnsi="Garamond"/>
          <w:sz w:val="22"/>
          <w:szCs w:val="22"/>
        </w:rPr>
        <w:t>С</w:t>
      </w:r>
      <w:r>
        <w:rPr>
          <w:rFonts w:eastAsia="MingLiU;細明體" w:cs="Garamond" w:ascii="Garamond" w:hAnsi="Garamond"/>
          <w:sz w:val="22"/>
          <w:szCs w:val="22"/>
          <w:lang w:val="en-US"/>
        </w:rPr>
        <w:t>. 1</w:t>
      </w:r>
      <w:r>
        <w:rPr>
          <w:rFonts w:eastAsia="MingLiU;細明體" w:cs="Garamond" w:ascii="Garamond" w:hAnsi="Garamond"/>
          <w:sz w:val="22"/>
          <w:szCs w:val="22"/>
        </w:rPr>
        <w:t>26</w:t>
      </w:r>
      <w:r>
        <w:rPr>
          <w:rFonts w:eastAsia="MingLiU;細明體" w:cs="Garamond" w:ascii="Garamond" w:hAnsi="Garamond"/>
          <w:sz w:val="22"/>
          <w:szCs w:val="22"/>
          <w:lang w:val="en-US"/>
        </w:rPr>
        <w:t>–135. DOI: 10.31696/2618-7302-2020-4-126-135</w:t>
      </w:r>
    </w:p>
    <w:p>
      <w:pPr>
        <w:pStyle w:val="Normal"/>
        <w:ind w:end="-31" w:firstLine="720"/>
        <w:jc w:val="both"/>
        <w:rPr>
          <w:rFonts w:ascii="Garamond" w:hAnsi="Garamond" w:eastAsia="MingLiU;細明體" w:cs="Garamond"/>
          <w:sz w:val="22"/>
          <w:szCs w:val="22"/>
          <w:lang w:val="en-US"/>
        </w:rPr>
      </w:pPr>
      <w:r>
        <w:rPr>
          <w:rFonts w:eastAsia="MingLiU;細明體" w:cs="Garamond" w:ascii="Garamond" w:hAnsi="Garamond"/>
          <w:sz w:val="22"/>
          <w:szCs w:val="22"/>
          <w:lang w:val="en-US"/>
        </w:rPr>
      </w:r>
    </w:p>
    <w:p>
      <w:pPr>
        <w:pStyle w:val="Normal"/>
        <w:tabs>
          <w:tab w:val="clear" w:pos="709"/>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360"/>
        <w:ind w:end="-31" w:hanging="0"/>
        <w:jc w:val="center"/>
        <w:rPr>
          <w:rFonts w:ascii="Garamond" w:hAnsi="Garamond" w:eastAsia="MingLiU;細明體" w:cs="Garamond"/>
          <w:b/>
          <w:b/>
          <w:bCs/>
          <w:sz w:val="26"/>
          <w:szCs w:val="26"/>
          <w:lang w:val="en-US"/>
        </w:rPr>
      </w:pPr>
      <w:r>
        <w:rPr>
          <w:rFonts w:eastAsia="MingLiU;細明體" w:cs="Garamond" w:ascii="Garamond" w:hAnsi="Garamond"/>
          <w:b/>
          <w:bCs/>
          <w:sz w:val="26"/>
          <w:szCs w:val="26"/>
          <w:lang w:val="en"/>
        </w:rPr>
        <w:t>EXCEPTION TO THE RULE: HOW ADAPTATION GENIUS</w:t>
      </w:r>
    </w:p>
    <w:p>
      <w:pPr>
        <w:pStyle w:val="Normal"/>
        <w:tabs>
          <w:tab w:val="clear" w:pos="709"/>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360"/>
        <w:ind w:end="-31" w:hanging="0"/>
        <w:jc w:val="center"/>
        <w:rPr>
          <w:rFonts w:ascii="Garamond" w:hAnsi="Garamond" w:eastAsia="MingLiU;細明體" w:cs="Garamond"/>
          <w:b/>
          <w:b/>
          <w:bCs/>
          <w:sz w:val="26"/>
          <w:szCs w:val="26"/>
          <w:lang w:val="en-US"/>
        </w:rPr>
      </w:pPr>
      <w:r>
        <w:rPr>
          <w:rFonts w:eastAsia="MingLiU;細明體" w:cs="Garamond" w:ascii="Garamond" w:hAnsi="Garamond"/>
          <w:b/>
          <w:bCs/>
          <w:sz w:val="26"/>
          <w:szCs w:val="26"/>
          <w:lang w:val="en"/>
        </w:rPr>
        <w:t>MATTEO RICCI FAILED TO UNDERSTAND CHINESE PAINTING</w:t>
      </w:r>
    </w:p>
    <w:p>
      <w:pPr>
        <w:pStyle w:val="Normal"/>
        <w:spacing w:lineRule="auto" w:line="360"/>
        <w:ind w:end="-31" w:hanging="0"/>
        <w:jc w:val="center"/>
        <w:rPr>
          <w:rFonts w:ascii="Garamond" w:hAnsi="Garamond" w:eastAsia="MingLiU;細明體" w:cs="Garamond"/>
          <w:b/>
          <w:b/>
          <w:sz w:val="26"/>
          <w:szCs w:val="26"/>
          <w:lang w:val="en-US"/>
        </w:rPr>
      </w:pPr>
      <w:r>
        <w:rPr>
          <w:rFonts w:eastAsia="MingLiU;細明體" w:cs="Garamond" w:ascii="Garamond" w:hAnsi="Garamond"/>
          <w:b/>
          <w:sz w:val="26"/>
          <w:szCs w:val="26"/>
          <w:lang w:val="en-US"/>
        </w:rPr>
        <w:t>Dinara V. Dubrovskaya</w:t>
      </w:r>
    </w:p>
    <w:p>
      <w:pPr>
        <w:sectPr>
          <w:footerReference w:type="default" r:id="rId2"/>
          <w:footnotePr>
            <w:numFmt w:val="chicago"/>
            <w:numRestart w:val="eachSect"/>
          </w:footnotePr>
          <w:type w:val="nextPage"/>
          <w:pgSz w:w="11055" w:h="14740"/>
          <w:pgMar w:left="1134" w:right="1134" w:header="0" w:top="1134" w:footer="709" w:bottom="1134" w:gutter="0"/>
          <w:pgNumType w:start="126" w:fmt="decimal"/>
          <w:formProt w:val="false"/>
          <w:textDirection w:val="lrTb"/>
          <w:docGrid w:type="default" w:linePitch="360" w:charSpace="0"/>
        </w:sectPr>
        <w:pStyle w:val="HTML"/>
        <w:ind w:end="-31" w:firstLine="720"/>
        <w:jc w:val="both"/>
        <w:rPr>
          <w:rFonts w:ascii="Garamond" w:hAnsi="Garamond" w:eastAsia="MingLiU;細明體" w:cs="Times New Roman"/>
          <w:sz w:val="22"/>
          <w:szCs w:val="22"/>
          <w:lang w:val="en"/>
        </w:rPr>
      </w:pPr>
      <w:r>
        <w:rPr>
          <w:rFonts w:eastAsia="MingLiU;細明體" w:cs="Times New Roman" w:ascii="Garamond" w:hAnsi="Garamond"/>
          <w:sz w:val="22"/>
          <w:szCs w:val="22"/>
          <w:lang w:val="en"/>
        </w:rPr>
        <w:t xml:space="preserve">The article </w:t>
      </w:r>
      <w:r>
        <w:rPr>
          <w:rFonts w:eastAsia="MingLiU;細明體" w:cs="Times New Roman" w:ascii="Garamond" w:hAnsi="Garamond"/>
          <w:sz w:val="22"/>
          <w:szCs w:val="22"/>
          <w:lang w:val="en-US"/>
        </w:rPr>
        <w:t>looks in</w:t>
      </w:r>
      <w:r>
        <w:rPr>
          <w:rFonts w:eastAsia="MingLiU;細明體" w:cs="Times New Roman" w:ascii="Garamond" w:hAnsi="Garamond"/>
          <w:sz w:val="22"/>
          <w:szCs w:val="22"/>
          <w:lang w:val="en"/>
        </w:rPr>
        <w:t>to an interesting case of artistic accommodation, which for a number of reasons did not happen during the time of the leader and one of the founders of the Jesuit mission in China, Matteo Ricci (1552–1610), a successful preacher and author of the so called ‘Matteo Ricci</w:t>
      </w:r>
    </w:p>
    <w:p>
      <w:pPr>
        <w:pStyle w:val="HTML"/>
        <w:ind w:end="-31" w:hanging="0"/>
        <w:jc w:val="both"/>
        <w:rPr>
          <w:rFonts w:ascii="Garamond" w:hAnsi="Garamond" w:eastAsia="MingLiU;細明體" w:cs="Times New Roman"/>
          <w:sz w:val="22"/>
          <w:szCs w:val="22"/>
          <w:lang w:val="en-US"/>
        </w:rPr>
      </w:pPr>
      <w:r>
        <w:rPr>
          <w:rFonts w:eastAsia="MingLiU;細明體" w:cs="Times New Roman" w:ascii="Garamond" w:hAnsi="Garamond"/>
          <w:sz w:val="22"/>
          <w:szCs w:val="22"/>
          <w:lang w:val="en"/>
        </w:rPr>
        <w:t>Rules’, justifying the need to adapt missionary activities and preaching to the beliefs, traditions and culture of the host country. The author proposes for her analysis two opposite figures — the Chinese Jesuit of the second generation, provincial landscape painter Wu Li (1632–1718) and Italian painter who worked at the court of the emperors of the Manchu Qing dynasty Giuseppe Castiglione (Lan Shining; 1688–1766), trying to show the long way of the adaptation of artistic techniques from the time of the mission’s founder Matteo Ricci, who did not accept and did not understand Chinese painting, and Wu Li, who did not see the value of European painting, to Lan Shining and his patrons, the Qing emperors, who created a sophisticated ‘Occidentalist’ style</w:t>
      </w:r>
      <w:r>
        <w:rPr>
          <w:rFonts w:eastAsia="MingLiU;細明體" w:cs="Times New Roman" w:ascii="Garamond" w:hAnsi="Garamond"/>
          <w:sz w:val="22"/>
          <w:szCs w:val="22"/>
          <w:lang w:val="en-US"/>
        </w:rPr>
        <w:t xml:space="preserve">, </w:t>
      </w:r>
      <w:r>
        <w:rPr>
          <w:rFonts w:eastAsia="MingLiU;細明體" w:cs="Times New Roman" w:ascii="Garamond" w:hAnsi="Garamond"/>
          <w:sz w:val="22"/>
          <w:szCs w:val="22"/>
          <w:lang w:val="en"/>
        </w:rPr>
        <w:t xml:space="preserve">combining features of Western and Chinese painting. The author concludes that Matteo Ricci, even though he used visual materials in his sermons as an aid to verbal preaching, missed the great opportunity of </w:t>
      </w:r>
      <w:r>
        <w:rPr>
          <w:rFonts w:eastAsia="MingLiU;細明體" w:cs="Times New Roman" w:ascii="Garamond" w:hAnsi="Garamond"/>
          <w:i/>
          <w:iCs/>
          <w:sz w:val="22"/>
          <w:szCs w:val="22"/>
          <w:lang w:val="en"/>
        </w:rPr>
        <w:t>preaching through the brush</w:t>
      </w:r>
      <w:r>
        <w:rPr>
          <w:rFonts w:eastAsia="MingLiU;細明體" w:cs="Times New Roman" w:ascii="Garamond" w:hAnsi="Garamond"/>
          <w:sz w:val="22"/>
          <w:szCs w:val="22"/>
          <w:lang w:val="en"/>
        </w:rPr>
        <w:t xml:space="preserve">, while Giuseppe Castiglione and his colleagues, European masters working at court, essentially continued to use ‘Ricci’s Rules’ and the accommodative method of preaching through the adaptation of European painting techniques to the Chinese ones, using the appropriate direct wishes and orders of the </w:t>
      </w:r>
      <w:r>
        <w:rPr>
          <w:rFonts w:eastAsia="MingLiU;細明體" w:cs="Times New Roman" w:ascii="Garamond" w:hAnsi="Garamond"/>
          <w:sz w:val="22"/>
          <w:szCs w:val="22"/>
          <w:lang w:val="en-US"/>
        </w:rPr>
        <w:t xml:space="preserve">crowned </w:t>
      </w:r>
      <w:r>
        <w:rPr>
          <w:rFonts w:eastAsia="MingLiU;細明體" w:cs="Times New Roman" w:ascii="Garamond" w:hAnsi="Garamond"/>
          <w:sz w:val="22"/>
          <w:szCs w:val="22"/>
          <w:lang w:val="en"/>
        </w:rPr>
        <w:t>representatives of the non-Chinese dynasty.</w:t>
      </w:r>
    </w:p>
    <w:p>
      <w:pPr>
        <w:pStyle w:val="Normal"/>
        <w:ind w:end="-31" w:firstLine="720"/>
        <w:jc w:val="both"/>
        <w:rPr>
          <w:rFonts w:ascii="Garamond" w:hAnsi="Garamond" w:eastAsia="MingLiU;細明體" w:cs="Garamond"/>
          <w:sz w:val="22"/>
          <w:szCs w:val="22"/>
          <w:lang w:val="en-US"/>
        </w:rPr>
      </w:pPr>
      <w:r>
        <w:rPr>
          <w:rFonts w:eastAsia="MingLiU;細明體" w:cs="Garamond" w:ascii="Garamond" w:hAnsi="Garamond"/>
          <w:i/>
          <w:iCs/>
          <w:sz w:val="22"/>
          <w:szCs w:val="22"/>
          <w:lang w:val="en-US"/>
        </w:rPr>
        <w:t>Keywords:</w:t>
      </w:r>
      <w:r>
        <w:rPr>
          <w:rFonts w:eastAsia="MingLiU;細明體" w:cs="Garamond" w:ascii="Garamond" w:hAnsi="Garamond"/>
          <w:sz w:val="22"/>
          <w:szCs w:val="22"/>
          <w:lang w:val="en-US"/>
        </w:rPr>
        <w:t xml:space="preserve"> Giuseppe Castiglione, Jesuit history, Jesuit Painters, Matteo Ricci, Wu Li, Chinese painting, Jesuits in China, Qing court art.</w:t>
      </w:r>
    </w:p>
    <w:p>
      <w:pPr>
        <w:pStyle w:val="Normal"/>
        <w:tabs>
          <w:tab w:val="clear" w:pos="709"/>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end="-31" w:firstLine="720"/>
        <w:jc w:val="both"/>
        <w:rPr>
          <w:rFonts w:ascii="Garamond" w:hAnsi="Garamond" w:eastAsia="MingLiU;細明體" w:cs="Garamond"/>
          <w:sz w:val="22"/>
          <w:szCs w:val="22"/>
          <w:lang w:val="en-US"/>
        </w:rPr>
      </w:pPr>
      <w:r>
        <w:rPr>
          <w:rFonts w:eastAsia="MingLiU;細明體" w:cs="Garamond" w:ascii="Garamond" w:hAnsi="Garamond"/>
          <w:i/>
          <w:iCs/>
          <w:sz w:val="22"/>
          <w:szCs w:val="22"/>
          <w:lang w:val="en-US"/>
        </w:rPr>
        <w:t>For citation:</w:t>
      </w:r>
      <w:r>
        <w:rPr>
          <w:rFonts w:eastAsia="MingLiU;細明體" w:cs="Garamond" w:ascii="Garamond" w:hAnsi="Garamond"/>
          <w:sz w:val="22"/>
          <w:szCs w:val="22"/>
          <w:lang w:val="en-US"/>
        </w:rPr>
        <w:t xml:space="preserve"> Dubrovskaya D. V. </w:t>
      </w:r>
      <w:r>
        <w:rPr>
          <w:rFonts w:eastAsia="MingLiU;細明體" w:cs="Garamond" w:ascii="Garamond" w:hAnsi="Garamond"/>
          <w:sz w:val="22"/>
          <w:szCs w:val="22"/>
          <w:lang w:val="en"/>
        </w:rPr>
        <w:t>Exception to the Rule: How Adaptation Genius Matteo Ricci Failed to Understand Chinese Painting</w:t>
      </w:r>
      <w:r>
        <w:rPr>
          <w:rFonts w:eastAsia="MingLiU;細明體" w:cs="Garamond" w:ascii="Garamond" w:hAnsi="Garamond"/>
          <w:sz w:val="22"/>
          <w:szCs w:val="22"/>
          <w:lang w:val="en-US"/>
        </w:rPr>
        <w:t xml:space="preserve">. </w:t>
      </w:r>
      <w:r>
        <w:rPr>
          <w:rFonts w:eastAsia="MingLiU;細明體" w:cs="Garamond" w:ascii="Garamond" w:hAnsi="Garamond"/>
          <w:i/>
          <w:sz w:val="22"/>
          <w:szCs w:val="22"/>
          <w:lang w:val="en-US"/>
        </w:rPr>
        <w:t>Vestnik</w:t>
      </w:r>
      <w:r>
        <w:rPr>
          <w:rFonts w:eastAsia="MingLiU;細明體" w:cs="Garamond" w:ascii="Garamond" w:hAnsi="Garamond"/>
          <w:i/>
          <w:sz w:val="22"/>
          <w:szCs w:val="22"/>
        </w:rPr>
        <w:t xml:space="preserve"> </w:t>
      </w:r>
      <w:r>
        <w:rPr>
          <w:rFonts w:eastAsia="MingLiU;細明體" w:cs="Garamond" w:ascii="Garamond" w:hAnsi="Garamond"/>
          <w:i/>
          <w:sz w:val="22"/>
          <w:szCs w:val="22"/>
          <w:lang w:val="en-US"/>
        </w:rPr>
        <w:t>Instituta</w:t>
      </w:r>
      <w:r>
        <w:rPr>
          <w:rFonts w:eastAsia="MingLiU;細明體" w:cs="Garamond" w:ascii="Garamond" w:hAnsi="Garamond"/>
          <w:i/>
          <w:sz w:val="22"/>
          <w:szCs w:val="22"/>
        </w:rPr>
        <w:t xml:space="preserve"> </w:t>
      </w:r>
      <w:r>
        <w:rPr>
          <w:rFonts w:eastAsia="MingLiU;細明體" w:cs="Garamond" w:ascii="Garamond" w:hAnsi="Garamond"/>
          <w:i/>
          <w:sz w:val="22"/>
          <w:szCs w:val="22"/>
          <w:lang w:val="en-US"/>
        </w:rPr>
        <w:t>vostokovedenija</w:t>
      </w:r>
      <w:r>
        <w:rPr>
          <w:rFonts w:eastAsia="MingLiU;細明體" w:cs="Garamond" w:ascii="Garamond" w:hAnsi="Garamond"/>
          <w:i/>
          <w:sz w:val="22"/>
          <w:szCs w:val="22"/>
        </w:rPr>
        <w:t xml:space="preserve"> </w:t>
      </w:r>
      <w:r>
        <w:rPr>
          <w:rFonts w:eastAsia="MingLiU;細明體" w:cs="Garamond" w:ascii="Garamond" w:hAnsi="Garamond"/>
          <w:i/>
          <w:sz w:val="22"/>
          <w:szCs w:val="22"/>
          <w:lang w:val="en-US"/>
        </w:rPr>
        <w:t>RAN</w:t>
      </w:r>
      <w:r>
        <w:rPr>
          <w:rFonts w:eastAsia="MingLiU;細明體" w:cs="Garamond" w:ascii="Garamond" w:hAnsi="Garamond"/>
          <w:sz w:val="22"/>
          <w:szCs w:val="22"/>
        </w:rPr>
        <w:t xml:space="preserve">. 2020. 4. </w:t>
      </w:r>
      <w:r>
        <w:rPr>
          <w:rFonts w:eastAsia="MingLiU;細明體" w:cs="Garamond" w:ascii="Garamond" w:hAnsi="Garamond"/>
          <w:sz w:val="22"/>
          <w:szCs w:val="22"/>
          <w:lang w:val="en-US"/>
        </w:rPr>
        <w:t>Pp</w:t>
      </w:r>
      <w:r>
        <w:rPr>
          <w:rFonts w:eastAsia="MingLiU;細明體" w:cs="Garamond" w:ascii="Garamond" w:hAnsi="Garamond"/>
          <w:sz w:val="22"/>
          <w:szCs w:val="22"/>
        </w:rPr>
        <w:t>.</w:t>
      </w:r>
      <w:r>
        <w:rPr>
          <w:rFonts w:eastAsia="MingLiU;細明體" w:cs="Garamond" w:ascii="Garamond" w:hAnsi="Garamond"/>
          <w:sz w:val="22"/>
          <w:szCs w:val="22"/>
          <w:lang w:val="en-US"/>
        </w:rPr>
        <w:t> </w:t>
      </w:r>
      <w:r>
        <w:rPr>
          <w:rFonts w:eastAsia="MingLiU;細明體" w:cs="Garamond" w:ascii="Garamond" w:hAnsi="Garamond"/>
          <w:sz w:val="22"/>
          <w:szCs w:val="22"/>
        </w:rPr>
        <w:t>126–</w:t>
      </w:r>
      <w:r>
        <w:rPr>
          <w:rFonts w:eastAsia="MingLiU;細明體" w:cs="Garamond" w:ascii="Garamond" w:hAnsi="Garamond"/>
          <w:sz w:val="22"/>
          <w:szCs w:val="22"/>
          <w:lang w:val="en-US"/>
        </w:rPr>
        <w:t>135</w:t>
      </w:r>
      <w:r>
        <w:rPr>
          <w:rFonts w:eastAsia="MingLiU;細明體" w:cs="Garamond" w:ascii="Garamond" w:hAnsi="Garamond"/>
          <w:sz w:val="22"/>
          <w:szCs w:val="22"/>
        </w:rPr>
        <w:t xml:space="preserve">. </w:t>
      </w:r>
      <w:r>
        <w:rPr>
          <w:rFonts w:eastAsia="MingLiU;細明體" w:cs="Garamond" w:ascii="Garamond" w:hAnsi="Garamond"/>
          <w:sz w:val="22"/>
          <w:szCs w:val="22"/>
          <w:lang w:val="en-US"/>
        </w:rPr>
        <w:t>DOI</w:t>
      </w:r>
      <w:r>
        <w:rPr>
          <w:rFonts w:eastAsia="MingLiU;細明體" w:cs="Garamond" w:ascii="Garamond" w:hAnsi="Garamond"/>
          <w:sz w:val="22"/>
          <w:szCs w:val="22"/>
        </w:rPr>
        <w:t>:</w:t>
      </w:r>
      <w:r>
        <w:rPr>
          <w:rFonts w:eastAsia="MingLiU;細明體" w:cs="Garamond" w:ascii="Garamond" w:hAnsi="Garamond"/>
          <w:sz w:val="22"/>
          <w:szCs w:val="22"/>
          <w:lang w:val="en-US"/>
        </w:rPr>
        <w:t> </w:t>
      </w:r>
      <w:r>
        <w:rPr>
          <w:rFonts w:eastAsia="MingLiU;細明體" w:cs="Garamond" w:ascii="Garamond" w:hAnsi="Garamond"/>
          <w:sz w:val="22"/>
          <w:szCs w:val="22"/>
        </w:rPr>
        <w:t>10.31696/2618-7302-2020-4-126-</w:t>
      </w:r>
      <w:r>
        <w:rPr>
          <w:rFonts w:eastAsia="MingLiU;細明體" w:cs="Garamond" w:ascii="Garamond" w:hAnsi="Garamond"/>
          <w:sz w:val="22"/>
          <w:szCs w:val="22"/>
          <w:lang w:val="en-US"/>
        </w:rPr>
        <w:t>135</w:t>
      </w:r>
    </w:p>
    <w:p>
      <w:pPr>
        <w:pStyle w:val="Normal"/>
        <w:ind w:end="-31" w:firstLine="720"/>
        <w:jc w:val="both"/>
        <w:rPr>
          <w:rFonts w:ascii="Garamond" w:hAnsi="Garamond" w:eastAsia="MingLiU;細明體" w:cs="Garamond"/>
          <w:sz w:val="22"/>
          <w:szCs w:val="22"/>
          <w:lang w:val="en-US"/>
        </w:rPr>
      </w:pPr>
      <w:r>
        <w:rPr>
          <w:rFonts w:eastAsia="MingLiU;細明體" w:cs="Garamond" w:ascii="Garamond" w:hAnsi="Garamond"/>
          <w:sz w:val="22"/>
          <w:szCs w:val="22"/>
          <w:lang w:val="en-US"/>
        </w:rPr>
      </w:r>
    </w:p>
    <w:p>
      <w:pPr>
        <w:pStyle w:val="Normal"/>
        <w:ind w:end="-31" w:hanging="0"/>
        <w:jc w:val="both"/>
        <w:rPr/>
      </w:pPr>
      <w:r>
        <w:rPr/>
        <w:t>Р</w:t>
      </w:r>
      <w:r>
        <w:rPr>
          <w:rFonts w:eastAsia="MingLiU;細明體" w:cs="Garamond" w:ascii="Garamond" w:hAnsi="Garamond"/>
          <w:sz w:val="24"/>
          <w:szCs w:val="24"/>
        </w:rPr>
        <w:t xml:space="preserve">асцвет деятельности европейских художников при пекинском императорском дворе приходится на </w:t>
      </w:r>
      <w:r>
        <w:rPr>
          <w:rFonts w:eastAsia="MingLiU;細明體" w:cs="Garamond" w:ascii="Garamond" w:hAnsi="Garamond"/>
          <w:sz w:val="24"/>
          <w:szCs w:val="24"/>
          <w:lang w:val="en-US"/>
        </w:rPr>
        <w:t>XVIII</w:t>
      </w:r>
      <w:r>
        <w:rPr>
          <w:rFonts w:eastAsia="MingLiU;細明體" w:cs="Garamond" w:ascii="Garamond" w:hAnsi="Garamond"/>
          <w:sz w:val="24"/>
          <w:szCs w:val="24"/>
        </w:rPr>
        <w:t> в. и эпоху «Трех великих правлений» императоров Канси (</w:t>
      </w:r>
      <w:r>
        <w:rPr>
          <w:rFonts w:ascii="Garamond" w:hAnsi="Garamond" w:eastAsia="MingLiU;細明體"/>
          <w:sz w:val="24"/>
          <w:szCs w:val="24"/>
          <w:shd w:fill="FFFFFF" w:val="clear"/>
        </w:rPr>
        <w:t>康熙</w:t>
      </w:r>
      <w:r>
        <w:rPr>
          <w:rFonts w:eastAsia="MingLiU;細明體" w:cs="Garamond" w:ascii="Garamond" w:hAnsi="Garamond"/>
          <w:sz w:val="24"/>
          <w:szCs w:val="24"/>
        </w:rPr>
        <w:t>, правил: 1661–1723 ), Юнчжэна        (</w:t>
      </w:r>
      <w:r>
        <w:rPr>
          <w:rFonts w:ascii="Garamond" w:hAnsi="Garamond" w:eastAsia="MingLiU;細明體"/>
          <w:sz w:val="24"/>
          <w:szCs w:val="24"/>
          <w:shd w:fill="FFFFFF" w:val="clear"/>
        </w:rPr>
        <w:t>雍正</w:t>
      </w:r>
      <w:r>
        <w:rPr>
          <w:rFonts w:eastAsia="MingLiU;細明體" w:cs="Garamond" w:ascii="Garamond" w:hAnsi="Garamond"/>
          <w:sz w:val="24"/>
          <w:szCs w:val="24"/>
          <w:shd w:fill="FFFFFF" w:val="clear"/>
        </w:rPr>
        <w:t>; правил: 1722–1735</w:t>
      </w:r>
      <w:r>
        <w:rPr>
          <w:rFonts w:eastAsia="MingLiU;細明體" w:cs="Garamond" w:ascii="Garamond" w:hAnsi="Garamond"/>
          <w:sz w:val="24"/>
          <w:szCs w:val="24"/>
        </w:rPr>
        <w:t>) и Цяньлуна (</w:t>
      </w:r>
      <w:r>
        <w:rPr>
          <w:rFonts w:ascii="Garamond" w:hAnsi="Garamond" w:eastAsia="MingLiU;細明體"/>
          <w:sz w:val="24"/>
          <w:szCs w:val="24"/>
          <w:shd w:fill="FFFFFF" w:val="clear"/>
        </w:rPr>
        <w:t>乾隆</w:t>
      </w:r>
      <w:r>
        <w:rPr>
          <w:rFonts w:eastAsia="MingLiU;細明體" w:cs="Garamond" w:ascii="Garamond" w:hAnsi="Garamond"/>
          <w:sz w:val="24"/>
          <w:szCs w:val="24"/>
        </w:rPr>
        <w:t xml:space="preserve">; правил 1736–1795), среди прочего прославившихся своим интересом к науке, культуре и искусству Европы. Именно при их дворе работал, в частности, признанный лидер приезжих европейских мастеров итальянский художник-иезуит Джузеппе Кастильоне (Лан Шинин; </w:t>
      </w:r>
      <w:r>
        <w:rPr>
          <w:rFonts w:ascii="Garamond" w:hAnsi="Garamond" w:eastAsia="MingLiU;細明體"/>
          <w:sz w:val="24"/>
          <w:szCs w:val="24"/>
          <w:shd w:fill="FFFFFF" w:val="clear"/>
        </w:rPr>
        <w:t>郎世寧</w:t>
      </w:r>
      <w:r>
        <w:rPr>
          <w:rFonts w:eastAsia="MingLiU;細明體" w:cs="Garamond" w:ascii="Garamond" w:hAnsi="Garamond"/>
          <w:sz w:val="24"/>
          <w:szCs w:val="24"/>
        </w:rPr>
        <w:t>; 1688–1766) и еще шестнадцать европейских мастеров, давших своего рода «подписку о невыезде» — поставивших подписи под «Красным указом» (</w:t>
      </w:r>
      <w:r>
        <w:rPr>
          <w:rStyle w:val="A"/>
          <w:rFonts w:ascii="Garamond" w:hAnsi="Garamond" w:eastAsia="MingLiU;細明體"/>
          <w:sz w:val="24"/>
          <w:szCs w:val="24"/>
        </w:rPr>
        <w:t>紅票</w:t>
      </w:r>
      <w:r>
        <w:rPr>
          <w:rStyle w:val="A"/>
          <w:rFonts w:eastAsia="MingLiU;細明體" w:cs="Garamond" w:ascii="Garamond" w:hAnsi="Garamond"/>
          <w:sz w:val="24"/>
          <w:szCs w:val="24"/>
        </w:rPr>
        <w:t xml:space="preserve">; </w:t>
      </w:r>
      <w:r>
        <w:rPr>
          <w:rStyle w:val="A"/>
          <w:rFonts w:eastAsia="MingLiU;細明體" w:cs="Garamond" w:ascii="Garamond" w:hAnsi="Garamond"/>
          <w:i/>
          <w:iCs/>
          <w:sz w:val="24"/>
          <w:szCs w:val="24"/>
        </w:rPr>
        <w:t>Хунпяо</w:t>
      </w:r>
      <w:r>
        <w:rPr>
          <w:rFonts w:eastAsia="MingLiU;細明體" w:cs="Garamond" w:ascii="Garamond" w:hAnsi="Garamond"/>
          <w:sz w:val="24"/>
          <w:szCs w:val="24"/>
        </w:rPr>
        <w:t>) в знак обещания служить цинскому императорскому дому до самой смерти и быть похороненными в китайской земле</w:t>
      </w:r>
      <w:r>
        <w:rPr>
          <w:rStyle w:val="Style13"/>
          <w:rStyle w:val="Style19"/>
          <w:rFonts w:eastAsia="MingLiU;細明體" w:cs="Garamond" w:ascii="Garamond" w:hAnsi="Garamond"/>
          <w:sz w:val="24"/>
          <w:szCs w:val="24"/>
        </w:rPr>
        <w:footnoteReference w:id="3"/>
      </w:r>
      <w:r>
        <w:rPr>
          <w:rFonts w:eastAsia="MingLiU;細明體" w:cs="Garamond" w:ascii="Garamond" w:hAnsi="Garamond"/>
          <w:sz w:val="24"/>
          <w:szCs w:val="24"/>
        </w:rPr>
        <w:t xml:space="preserve">. </w:t>
      </w:r>
    </w:p>
    <w:p>
      <w:pPr>
        <w:pStyle w:val="Normal"/>
        <w:ind w:end="-31" w:firstLine="720"/>
        <w:jc w:val="both"/>
        <w:rPr>
          <w:rFonts w:ascii="Garamond" w:hAnsi="Garamond" w:eastAsia="MingLiU;細明體" w:cs="Garamond"/>
          <w:sz w:val="24"/>
          <w:szCs w:val="24"/>
          <w:lang w:val="en-US"/>
        </w:rPr>
      </w:pPr>
      <w:r>
        <w:rPr>
          <w:rFonts w:eastAsia="MingLiU;細明體" w:cs="Garamond" w:ascii="Garamond" w:hAnsi="Garamond"/>
          <w:sz w:val="24"/>
          <w:szCs w:val="24"/>
        </w:rPr>
        <w:t xml:space="preserve">Однако идея о необходимости выработки «синоевропейского стиля», визитной карточки придворных иезуитов, включавшей знаменитый метод </w:t>
      </w:r>
      <w:r>
        <w:rPr>
          <w:rFonts w:eastAsia="MingLiU;細明體" w:cs="Garamond" w:ascii="Garamond" w:hAnsi="Garamond"/>
          <w:i/>
          <w:iCs/>
          <w:sz w:val="24"/>
          <w:szCs w:val="24"/>
        </w:rPr>
        <w:t>сяньфа</w:t>
      </w:r>
      <w:r>
        <w:rPr>
          <w:rFonts w:eastAsia="MingLiU;細明體" w:cs="Garamond" w:ascii="Garamond" w:hAnsi="Garamond"/>
          <w:sz w:val="24"/>
          <w:szCs w:val="24"/>
        </w:rPr>
        <w:t xml:space="preserve"> (</w:t>
      </w:r>
      <w:r>
        <w:rPr>
          <w:rFonts w:ascii="Garamond" w:hAnsi="Garamond" w:eastAsia="MingLiU;細明體"/>
          <w:sz w:val="24"/>
          <w:szCs w:val="24"/>
        </w:rPr>
        <w:t>線法</w:t>
      </w:r>
      <w:r>
        <w:rPr>
          <w:rFonts w:eastAsia="MingLiU;細明體" w:cs="Garamond" w:ascii="Garamond" w:hAnsi="Garamond"/>
          <w:sz w:val="24"/>
          <w:szCs w:val="24"/>
        </w:rPr>
        <w:t>) [Дубровская, 2018а], деликатное использование прямой перспективы и светотени, расширение репертуара художественных произведений и т. д. появилась, как ни странно, отнюдь не сразу же по приезде в Китай миссии Общества Иисуса. Маттео Риччи (</w:t>
      </w:r>
      <w:r>
        <w:rPr>
          <w:rFonts w:eastAsia="MingLiU;細明體" w:cs="Garamond" w:ascii="Garamond" w:hAnsi="Garamond"/>
          <w:sz w:val="24"/>
          <w:szCs w:val="24"/>
          <w:lang w:val="en-US"/>
        </w:rPr>
        <w:t>Matteo</w:t>
      </w:r>
      <w:r>
        <w:rPr>
          <w:rFonts w:eastAsia="MingLiU;細明體" w:cs="Garamond" w:ascii="Garamond" w:hAnsi="Garamond"/>
          <w:sz w:val="24"/>
          <w:szCs w:val="24"/>
        </w:rPr>
        <w:t xml:space="preserve"> </w:t>
      </w:r>
      <w:r>
        <w:rPr>
          <w:rFonts w:eastAsia="MingLiU;細明體" w:cs="Garamond" w:ascii="Garamond" w:hAnsi="Garamond"/>
          <w:sz w:val="24"/>
          <w:szCs w:val="24"/>
          <w:lang w:val="en-US"/>
        </w:rPr>
        <w:t>Ricci</w:t>
      </w:r>
      <w:r>
        <w:rPr>
          <w:rFonts w:eastAsia="MingLiU;細明體" w:cs="Garamond" w:ascii="Garamond" w:hAnsi="Garamond"/>
          <w:sz w:val="24"/>
          <w:szCs w:val="24"/>
        </w:rPr>
        <w:t xml:space="preserve">; </w:t>
      </w:r>
      <w:r>
        <w:rPr>
          <w:rFonts w:ascii="Garamond" w:hAnsi="Garamond" w:eastAsia="MingLiU;細明體"/>
          <w:sz w:val="24"/>
          <w:szCs w:val="24"/>
        </w:rPr>
        <w:t>利瑪竇</w:t>
      </w:r>
      <w:r>
        <w:rPr>
          <w:rFonts w:eastAsia="MingLiU;細明體" w:cs="Garamond" w:ascii="Garamond" w:hAnsi="Garamond"/>
          <w:sz w:val="24"/>
          <w:szCs w:val="24"/>
        </w:rPr>
        <w:t xml:space="preserve">; Ли Мадоу; 1552–1610) — лидер первой триумфальной миссии, приведший ее в Пекин во времена императора династии Мин Ваньли </w:t>
      </w:r>
      <w:r>
        <w:rPr>
          <w:rFonts w:eastAsia="MingLiU;細明體" w:cs="Garamond" w:ascii="Garamond" w:hAnsi="Garamond"/>
          <w:bCs/>
          <w:sz w:val="24"/>
          <w:szCs w:val="24"/>
        </w:rPr>
        <w:t>(</w:t>
      </w:r>
      <w:r>
        <w:rPr>
          <w:rFonts w:ascii="Garamond" w:hAnsi="Garamond" w:eastAsia="MingLiU;細明體"/>
          <w:sz w:val="24"/>
          <w:szCs w:val="24"/>
          <w:shd w:fill="FFFFFF" w:val="clear"/>
        </w:rPr>
        <w:t>萬曆</w:t>
      </w:r>
      <w:r>
        <w:rPr>
          <w:rFonts w:eastAsia="MingLiU;細明體" w:cs="Garamond" w:ascii="Garamond" w:hAnsi="Garamond"/>
          <w:sz w:val="24"/>
          <w:szCs w:val="24"/>
        </w:rPr>
        <w:t xml:space="preserve">; правление </w:t>
      </w:r>
      <w:r>
        <w:rPr>
          <w:rFonts w:eastAsia="MingLiU;細明體" w:cs="Garamond" w:ascii="Garamond" w:hAnsi="Garamond"/>
          <w:bCs/>
          <w:sz w:val="24"/>
          <w:szCs w:val="24"/>
        </w:rPr>
        <w:t>1572–1620)</w:t>
      </w:r>
      <w:r>
        <w:rPr>
          <w:rFonts w:eastAsia="MingLiU;細明體" w:cs="Garamond" w:ascii="Garamond" w:hAnsi="Garamond"/>
          <w:sz w:val="24"/>
          <w:szCs w:val="24"/>
        </w:rPr>
        <w:t xml:space="preserve">, такой задачи перед европейскими мастерами не ставил [Дубровская, 2018с]. Более того, пекинский десант европейский ученых, математиков, художников, архитекторов, гидравликов, рисовальщиков, часовых дел мастеров и астрономов (зачастую объединявшихся в лице одного и того же миссионера), люди, ставшие известными в Европе как «математики короля» и прославленные в знаменитом гобелене из Бове («Астрономы»; </w:t>
      </w:r>
      <w:r>
        <w:rPr>
          <w:rFonts w:eastAsia="MingLiU;細明體" w:cs="Garamond" w:ascii="Garamond" w:hAnsi="Garamond"/>
          <w:i/>
          <w:iCs/>
          <w:sz w:val="24"/>
          <w:szCs w:val="24"/>
        </w:rPr>
        <w:t>илл. 1</w:t>
      </w:r>
      <w:r>
        <w:rPr>
          <w:rFonts w:eastAsia="MingLiU;細明體" w:cs="Garamond" w:ascii="Garamond" w:hAnsi="Garamond"/>
          <w:sz w:val="24"/>
          <w:szCs w:val="24"/>
        </w:rPr>
        <w:t>), стал возможен благодаря заказу сверху: это самим императорам (поначалу китайским, а после завоевания страны — маньчжурским) понадобилось заводить во дворце причудливые европейские часы, подаренные Риччи, исправлять устаревшие календари, проектировать дворцы, чтобы сравняться с французскими Людовиками, позировать для портретов и узнавать на этих портретах себя. Иезуиты и другие ученые миссионеры оказались нужными людьми в нужном месте.</w:t>
      </w:r>
    </w:p>
    <w:p>
      <w:pPr>
        <w:pStyle w:val="Normal"/>
        <w:ind w:end="-31" w:firstLine="720"/>
        <w:jc w:val="both"/>
        <w:rPr/>
      </w:pPr>
      <w:r>
        <w:rPr>
          <w:rFonts w:eastAsia="MingLiU;細明體" w:cs="Garamond" w:ascii="Garamond" w:hAnsi="Garamond"/>
          <w:sz w:val="24"/>
          <w:szCs w:val="24"/>
        </w:rPr>
        <w:t>Повторим: Маттео Риччи не предполагал описанного развития событий. Прекрасно осознавая силу воздействия изображений, подкрепляющих устное слово, Мудрец с Запада — «Ситай»      (</w:t>
      </w:r>
      <w:r>
        <w:rPr>
          <w:rFonts w:ascii="Garamond" w:hAnsi="Garamond" w:eastAsia="MingLiU;細明體"/>
          <w:sz w:val="24"/>
          <w:szCs w:val="24"/>
          <w:shd w:fill="FFFFFF" w:val="clear"/>
        </w:rPr>
        <w:t>西泰</w:t>
      </w:r>
      <w:r>
        <w:rPr>
          <w:rFonts w:eastAsia="MingLiU;細明體" w:cs="Garamond" w:ascii="Garamond" w:hAnsi="Garamond"/>
          <w:sz w:val="24"/>
          <w:szCs w:val="24"/>
        </w:rPr>
        <w:t xml:space="preserve">) Маттео Риччи использовал в проповеди в качестве наглядного пособия, «визуального костыля» знаменитую Библию Наталиса [Дубровская, 2019б], но простая мысль о продолжении адаптации положений христианства к конфуцианству через адаптацию европейских пластических искусств к пластическим искусствам Поднебесной ему в голову не пришла; скорее всего, у Ситая просто не хватало времени еще и на эту сферу знания и приложения усилий. </w:t>
      </w:r>
      <w:r>
        <mc:AlternateContent>
          <mc:Choice Requires="wps">
            <w:drawing>
              <wp:anchor behindDoc="0" distT="0" distB="0" distL="0" distR="114300" simplePos="0" locked="0" layoutInCell="0" allowOverlap="1" relativeHeight="2">
                <wp:simplePos x="0" y="0"/>
                <wp:positionH relativeFrom="margin">
                  <wp:posOffset>-68580</wp:posOffset>
                </wp:positionH>
                <wp:positionV relativeFrom="page">
                  <wp:posOffset>835025</wp:posOffset>
                </wp:positionV>
                <wp:extent cx="3515995" cy="5836285"/>
                <wp:effectExtent l="0" t="0" r="0" b="0"/>
                <wp:wrapSquare wrapText="bothSides"/>
                <wp:docPr id="2" name="Врезка1"/>
                <a:graphic xmlns:a="http://schemas.openxmlformats.org/drawingml/2006/main">
                  <a:graphicData uri="http://schemas.microsoft.com/office/word/2010/wordprocessingShape">
                    <wps:wsp>
                      <wps:cNvSpPr txBox="1"/>
                      <wps:spPr>
                        <a:xfrm>
                          <a:off x="0" y="0"/>
                          <a:ext cx="3515995" cy="5836285"/>
                        </a:xfrm>
                        <a:prstGeom prst="rect"/>
                        <a:solidFill>
                          <a:srgbClr val="FFFFFF">
                            <a:alpha val="0"/>
                          </a:srgbClr>
                        </a:solidFill>
                      </wps:spPr>
                      <wps:txbx>
                        <w:txbxContent>
                          <w:tbl>
                            <w:tblPr>
                              <w:tblW w:w="5537" w:type="dxa"/>
                              <w:jc w:val="start"/>
                              <w:tblInd w:w="0" w:type="dxa"/>
                              <w:tblLayout w:type="fixed"/>
                              <w:tblCellMar>
                                <w:top w:w="0" w:type="dxa"/>
                                <w:start w:w="108" w:type="dxa"/>
                                <w:bottom w:w="0" w:type="dxa"/>
                                <w:end w:w="108" w:type="dxa"/>
                              </w:tblCellMar>
                            </w:tblPr>
                            <w:tblGrid>
                              <w:gridCol w:w="5537"/>
                            </w:tblGrid>
                            <w:tr>
                              <w:trPr/>
                              <w:tc>
                                <w:tcPr>
                                  <w:tcW w:w="5537" w:type="dxa"/>
                                  <w:tcBorders/>
                                </w:tcPr>
                                <w:p>
                                  <w:pPr>
                                    <w:pStyle w:val="Normal"/>
                                    <w:ind w:end="-31" w:hanging="0"/>
                                    <w:jc w:val="center"/>
                                    <w:rPr>
                                      <w:rFonts w:ascii="Garamond" w:hAnsi="Garamond" w:eastAsia="MingLiU;細明體" w:cs="Garamond"/>
                                      <w:sz w:val="22"/>
                                      <w:szCs w:val="22"/>
                                      <w:lang w:val="en-US"/>
                                    </w:rPr>
                                  </w:pPr>
                                  <w:r>
                                    <w:rPr>
                                      <w:rFonts w:eastAsia="MingLiU;細明體" w:cs="Garamond" w:ascii="Garamond" w:hAnsi="Garamond"/>
                                      <w:sz w:val="22"/>
                                      <w:szCs w:val="22"/>
                                      <w:lang w:val="en-US"/>
                                    </w:rPr>
                                    <w:drawing>
                                      <wp:inline distT="0" distB="0" distL="0" distR="0">
                                        <wp:extent cx="3397885" cy="4476750"/>
                                        <wp:effectExtent l="0" t="0" r="0" b="0"/>
                                        <wp:docPr id="3" name="Изображение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1" descr="" title=""/>
                                                <pic:cNvPicPr>
                                                  <a:picLocks noChangeAspect="1" noChangeArrowheads="1"/>
                                                </pic:cNvPicPr>
                                              </pic:nvPicPr>
                                              <pic:blipFill>
                                                <a:blip r:embed="rId3"/>
                                                <a:srcRect l="-4" t="-3" r="-4" b="-3"/>
                                                <a:stretch>
                                                  <a:fillRect/>
                                                </a:stretch>
                                              </pic:blipFill>
                                              <pic:spPr bwMode="auto">
                                                <a:xfrm>
                                                  <a:off x="0" y="0"/>
                                                  <a:ext cx="3397885" cy="4476750"/>
                                                </a:xfrm>
                                                <a:prstGeom prst="rect">
                                                  <a:avLst/>
                                                </a:prstGeom>
                                              </pic:spPr>
                                            </pic:pic>
                                          </a:graphicData>
                                        </a:graphic>
                                      </wp:inline>
                                    </w:drawing>
                                  </w:r>
                                </w:p>
                                <w:p>
                                  <w:pPr>
                                    <w:pStyle w:val="Normal"/>
                                    <w:ind w:end="-31" w:hanging="0"/>
                                    <w:jc w:val="center"/>
                                    <w:rPr>
                                      <w:rFonts w:ascii="Garamond" w:hAnsi="Garamond" w:eastAsia="MingLiU;細明體" w:cs="Garamond"/>
                                      <w:sz w:val="22"/>
                                      <w:szCs w:val="22"/>
                                      <w:lang w:val="en-US"/>
                                    </w:rPr>
                                  </w:pPr>
                                  <w:r>
                                    <w:rPr>
                                      <w:rFonts w:eastAsia="MingLiU;細明體" w:cs="Garamond" w:ascii="Garamond" w:hAnsi="Garamond"/>
                                      <w:i/>
                                      <w:iCs/>
                                      <w:sz w:val="22"/>
                                      <w:szCs w:val="22"/>
                                    </w:rPr>
                                    <w:t xml:space="preserve">Илл. 1. </w:t>
                                  </w:r>
                                  <w:r>
                                    <w:rPr>
                                      <w:rFonts w:eastAsia="MingLiU;細明體" w:cs="Garamond" w:ascii="Garamond" w:hAnsi="Garamond"/>
                                      <w:sz w:val="22"/>
                                      <w:szCs w:val="22"/>
                                    </w:rPr>
                                    <w:t>Ги-Луи Вернансаль (автор эскиза) (1648</w:t>
                                  </w:r>
                                  <w:r>
                                    <w:rPr>
                                      <w:rFonts w:eastAsia="MingLiU;細明體" w:cs="Garamond" w:ascii="Garamond" w:hAnsi="Garamond"/>
                                      <w:bCs/>
                                      <w:sz w:val="22"/>
                                      <w:szCs w:val="22"/>
                                    </w:rPr>
                                    <w:t>–</w:t>
                                  </w:r>
                                  <w:r>
                                    <w:rPr>
                                      <w:rFonts w:eastAsia="MingLiU;細明體" w:cs="Garamond" w:ascii="Garamond" w:hAnsi="Garamond"/>
                                      <w:sz w:val="22"/>
                                      <w:szCs w:val="22"/>
                                    </w:rPr>
                                    <w:t>1729). Астрономы. Гобелен производства мануфактуры Бове из серии «История китайского императора», изображающий астрономов-иезуитов с китайскими учеными. 1697</w:t>
                                  </w:r>
                                  <w:r>
                                    <w:rPr>
                                      <w:rFonts w:eastAsia="MingLiU;細明體" w:cs="Garamond" w:ascii="Garamond" w:hAnsi="Garamond"/>
                                      <w:bCs/>
                                      <w:sz w:val="22"/>
                                      <w:szCs w:val="22"/>
                                    </w:rPr>
                                    <w:t>–</w:t>
                                  </w:r>
                                  <w:r>
                                    <w:rPr>
                                      <w:rFonts w:eastAsia="MingLiU;細明體" w:cs="Garamond" w:ascii="Garamond" w:hAnsi="Garamond"/>
                                      <w:sz w:val="22"/>
                                      <w:szCs w:val="22"/>
                                    </w:rPr>
                                    <w:t>1705 гг. Шерсть, шелк. 318,8 × 424,2 см</w:t>
                                  </w:r>
                                </w:p>
                                <w:p>
                                  <w:pPr>
                                    <w:pStyle w:val="Normal"/>
                                    <w:ind w:end="-31" w:hanging="0"/>
                                    <w:jc w:val="center"/>
                                    <w:rPr>
                                      <w:rFonts w:ascii="Garamond" w:hAnsi="Garamond" w:eastAsia="MingLiU;細明體" w:cs="Garamond"/>
                                      <w:sz w:val="22"/>
                                      <w:szCs w:val="22"/>
                                    </w:rPr>
                                  </w:pPr>
                                  <w:r>
                                    <w:rPr>
                                      <w:rFonts w:eastAsia="MingLiU;細明體" w:cs="Garamond" w:ascii="Garamond" w:hAnsi="Garamond"/>
                                      <w:sz w:val="22"/>
                                      <w:szCs w:val="22"/>
                                    </w:rPr>
                                    <w:t>© Музей Гетти, Лос-Анжелес</w:t>
                                  </w:r>
                                </w:p>
                                <w:p>
                                  <w:pPr>
                                    <w:pStyle w:val="Normal"/>
                                    <w:ind w:end="-31" w:hanging="0"/>
                                    <w:jc w:val="center"/>
                                    <w:rPr>
                                      <w:rFonts w:ascii="Garamond" w:hAnsi="Garamond" w:eastAsia="MingLiU;細明體" w:cs="Garamond"/>
                                      <w:sz w:val="8"/>
                                      <w:szCs w:val="8"/>
                                    </w:rPr>
                                  </w:pPr>
                                  <w:r>
                                    <w:rPr>
                                      <w:rFonts w:eastAsia="MingLiU;細明體" w:cs="Garamond" w:ascii="Garamond" w:hAnsi="Garamond"/>
                                      <w:sz w:val="8"/>
                                      <w:szCs w:val="8"/>
                                    </w:rPr>
                                  </w:r>
                                </w:p>
                              </w:tc>
                            </w:tr>
                          </w:tbl>
                        </w:txbxContent>
                      </wps:txbx>
                      <wps:bodyPr anchor="t" lIns="0" tIns="0" rIns="0" bIns="0">
                        <a:noAutofit/>
                      </wps:bodyPr>
                    </wps:wsp>
                  </a:graphicData>
                </a:graphic>
              </wp:anchor>
            </w:drawing>
          </mc:Choice>
          <mc:Fallback>
            <w:pict>
              <v:rect fillcolor="#FFFFFF" style="position:absolute;rotation:0;width:276.85pt;height:459.55pt;mso-wrap-distance-left:0pt;mso-wrap-distance-right:9pt;mso-wrap-distance-top:0pt;mso-wrap-distance-bottom:0pt;margin-top:65.75pt;mso-position-vertical-relative:page;margin-left:-5.4pt;mso-position-horizontal-relative:margin">
                <v:fill opacity="0f"/>
                <v:textbox inset="0in,0in,0in,0in">
                  <w:txbxContent>
                    <w:tbl>
                      <w:tblPr>
                        <w:tblW w:w="5537" w:type="dxa"/>
                        <w:jc w:val="start"/>
                        <w:tblInd w:w="0" w:type="dxa"/>
                        <w:tblLayout w:type="fixed"/>
                        <w:tblCellMar>
                          <w:top w:w="0" w:type="dxa"/>
                          <w:start w:w="108" w:type="dxa"/>
                          <w:bottom w:w="0" w:type="dxa"/>
                          <w:end w:w="108" w:type="dxa"/>
                        </w:tblCellMar>
                      </w:tblPr>
                      <w:tblGrid>
                        <w:gridCol w:w="5537"/>
                      </w:tblGrid>
                      <w:tr>
                        <w:trPr/>
                        <w:tc>
                          <w:tcPr>
                            <w:tcW w:w="5537" w:type="dxa"/>
                            <w:tcBorders/>
                          </w:tcPr>
                          <w:p>
                            <w:pPr>
                              <w:pStyle w:val="Normal"/>
                              <w:ind w:end="-31" w:hanging="0"/>
                              <w:jc w:val="center"/>
                              <w:rPr>
                                <w:rFonts w:ascii="Garamond" w:hAnsi="Garamond" w:eastAsia="MingLiU;細明體" w:cs="Garamond"/>
                                <w:sz w:val="22"/>
                                <w:szCs w:val="22"/>
                                <w:lang w:val="en-US"/>
                              </w:rPr>
                            </w:pPr>
                            <w:r>
                              <w:rPr>
                                <w:rFonts w:eastAsia="MingLiU;細明體" w:cs="Garamond" w:ascii="Garamond" w:hAnsi="Garamond"/>
                                <w:sz w:val="22"/>
                                <w:szCs w:val="22"/>
                                <w:lang w:val="en-US"/>
                              </w:rPr>
                              <w:drawing>
                                <wp:inline distT="0" distB="0" distL="0" distR="0">
                                  <wp:extent cx="3397885" cy="4476750"/>
                                  <wp:effectExtent l="0" t="0" r="0" b="0"/>
                                  <wp:docPr id="4" name="Изображение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1" descr="" title=""/>
                                          <pic:cNvPicPr>
                                            <a:picLocks noChangeAspect="1" noChangeArrowheads="1"/>
                                          </pic:cNvPicPr>
                                        </pic:nvPicPr>
                                        <pic:blipFill>
                                          <a:blip r:embed="rId3"/>
                                          <a:srcRect l="-4" t="-3" r="-4" b="-3"/>
                                          <a:stretch>
                                            <a:fillRect/>
                                          </a:stretch>
                                        </pic:blipFill>
                                        <pic:spPr bwMode="auto">
                                          <a:xfrm>
                                            <a:off x="0" y="0"/>
                                            <a:ext cx="3397885" cy="4476750"/>
                                          </a:xfrm>
                                          <a:prstGeom prst="rect">
                                            <a:avLst/>
                                          </a:prstGeom>
                                        </pic:spPr>
                                      </pic:pic>
                                    </a:graphicData>
                                  </a:graphic>
                                </wp:inline>
                              </w:drawing>
                            </w:r>
                          </w:p>
                          <w:p>
                            <w:pPr>
                              <w:pStyle w:val="Normal"/>
                              <w:ind w:end="-31" w:hanging="0"/>
                              <w:jc w:val="center"/>
                              <w:rPr>
                                <w:rFonts w:ascii="Garamond" w:hAnsi="Garamond" w:eastAsia="MingLiU;細明體" w:cs="Garamond"/>
                                <w:sz w:val="22"/>
                                <w:szCs w:val="22"/>
                                <w:lang w:val="en-US"/>
                              </w:rPr>
                            </w:pPr>
                            <w:r>
                              <w:rPr>
                                <w:rFonts w:eastAsia="MingLiU;細明體" w:cs="Garamond" w:ascii="Garamond" w:hAnsi="Garamond"/>
                                <w:i/>
                                <w:iCs/>
                                <w:sz w:val="22"/>
                                <w:szCs w:val="22"/>
                              </w:rPr>
                              <w:t xml:space="preserve">Илл. 1. </w:t>
                            </w:r>
                            <w:r>
                              <w:rPr>
                                <w:rFonts w:eastAsia="MingLiU;細明體" w:cs="Garamond" w:ascii="Garamond" w:hAnsi="Garamond"/>
                                <w:sz w:val="22"/>
                                <w:szCs w:val="22"/>
                              </w:rPr>
                              <w:t>Ги-Луи Вернансаль (автор эскиза) (1648</w:t>
                            </w:r>
                            <w:r>
                              <w:rPr>
                                <w:rFonts w:eastAsia="MingLiU;細明體" w:cs="Garamond" w:ascii="Garamond" w:hAnsi="Garamond"/>
                                <w:bCs/>
                                <w:sz w:val="22"/>
                                <w:szCs w:val="22"/>
                              </w:rPr>
                              <w:t>–</w:t>
                            </w:r>
                            <w:r>
                              <w:rPr>
                                <w:rFonts w:eastAsia="MingLiU;細明體" w:cs="Garamond" w:ascii="Garamond" w:hAnsi="Garamond"/>
                                <w:sz w:val="22"/>
                                <w:szCs w:val="22"/>
                              </w:rPr>
                              <w:t>1729). Астрономы. Гобелен производства мануфактуры Бове из серии «История китайского императора», изображающий астрономов-иезуитов с китайскими учеными. 1697</w:t>
                            </w:r>
                            <w:r>
                              <w:rPr>
                                <w:rFonts w:eastAsia="MingLiU;細明體" w:cs="Garamond" w:ascii="Garamond" w:hAnsi="Garamond"/>
                                <w:bCs/>
                                <w:sz w:val="22"/>
                                <w:szCs w:val="22"/>
                              </w:rPr>
                              <w:t>–</w:t>
                            </w:r>
                            <w:r>
                              <w:rPr>
                                <w:rFonts w:eastAsia="MingLiU;細明體" w:cs="Garamond" w:ascii="Garamond" w:hAnsi="Garamond"/>
                                <w:sz w:val="22"/>
                                <w:szCs w:val="22"/>
                              </w:rPr>
                              <w:t>1705 гг. Шерсть, шелк. 318,8 × 424,2 см</w:t>
                            </w:r>
                          </w:p>
                          <w:p>
                            <w:pPr>
                              <w:pStyle w:val="Normal"/>
                              <w:ind w:end="-31" w:hanging="0"/>
                              <w:jc w:val="center"/>
                              <w:rPr>
                                <w:rFonts w:ascii="Garamond" w:hAnsi="Garamond" w:eastAsia="MingLiU;細明體" w:cs="Garamond"/>
                                <w:sz w:val="22"/>
                                <w:szCs w:val="22"/>
                              </w:rPr>
                            </w:pPr>
                            <w:r>
                              <w:rPr>
                                <w:rFonts w:eastAsia="MingLiU;細明體" w:cs="Garamond" w:ascii="Garamond" w:hAnsi="Garamond"/>
                                <w:sz w:val="22"/>
                                <w:szCs w:val="22"/>
                              </w:rPr>
                              <w:t>© Музей Гетти, Лос-Анжелес</w:t>
                            </w:r>
                          </w:p>
                          <w:p>
                            <w:pPr>
                              <w:pStyle w:val="Normal"/>
                              <w:ind w:end="-31" w:hanging="0"/>
                              <w:jc w:val="center"/>
                              <w:rPr>
                                <w:rFonts w:ascii="Garamond" w:hAnsi="Garamond" w:eastAsia="MingLiU;細明體" w:cs="Garamond"/>
                                <w:sz w:val="8"/>
                                <w:szCs w:val="8"/>
                              </w:rPr>
                            </w:pPr>
                            <w:r>
                              <w:rPr>
                                <w:rFonts w:eastAsia="MingLiU;細明體" w:cs="Garamond" w:ascii="Garamond" w:hAnsi="Garamond"/>
                                <w:sz w:val="8"/>
                                <w:szCs w:val="8"/>
                              </w:rPr>
                            </w:r>
                          </w:p>
                        </w:tc>
                      </w:tr>
                    </w:tbl>
                  </w:txbxContent>
                </v:textbox>
                <w10:wrap type="square"/>
              </v:rect>
            </w:pict>
          </mc:Fallback>
        </mc:AlternateContent>
      </w:r>
    </w:p>
    <w:p>
      <w:pPr>
        <w:pStyle w:val="Normal"/>
        <w:ind w:end="-31" w:firstLine="720"/>
        <w:jc w:val="both"/>
        <w:rPr/>
      </w:pPr>
      <w:r>
        <w:rPr>
          <w:rFonts w:eastAsia="MingLiU;細明體" w:cs="Garamond" w:ascii="Garamond" w:hAnsi="Garamond"/>
          <w:sz w:val="24"/>
          <w:szCs w:val="24"/>
        </w:rPr>
        <w:t xml:space="preserve">Каковы же были взгляды Маттео Риччи на китайское искусство? И как выглядело начало сближения европейского и китайского, дошедшее в </w:t>
      </w:r>
      <w:r>
        <w:rPr>
          <w:rFonts w:eastAsia="MingLiU;細明體" w:cs="Garamond" w:ascii="Garamond" w:hAnsi="Garamond"/>
          <w:sz w:val="24"/>
          <w:szCs w:val="24"/>
          <w:lang w:val="en-US"/>
        </w:rPr>
        <w:t>XVIII</w:t>
      </w:r>
      <w:r>
        <w:rPr>
          <w:rFonts w:eastAsia="MingLiU;細明體" w:cs="Garamond" w:ascii="Garamond" w:hAnsi="Garamond"/>
          <w:sz w:val="24"/>
          <w:szCs w:val="24"/>
        </w:rPr>
        <w:t> в. до творчества Джузеппе Кастильоне, предоставившего требуемый от него «сплав» европейского натуроподобия и китайского придворного стиля?</w:t>
      </w:r>
    </w:p>
    <w:p>
      <w:pPr>
        <w:pStyle w:val="Normal"/>
        <w:ind w:end="-31" w:firstLine="720"/>
        <w:jc w:val="both"/>
        <w:rPr>
          <w:rFonts w:ascii="Garamond" w:hAnsi="Garamond" w:eastAsia="MingLiU;細明體" w:cs="Garamond"/>
          <w:sz w:val="24"/>
          <w:szCs w:val="24"/>
        </w:rPr>
      </w:pPr>
      <w:r>
        <w:rPr>
          <w:rFonts w:eastAsia="MingLiU;細明體" w:cs="Garamond" w:ascii="Garamond" w:hAnsi="Garamond"/>
          <w:sz w:val="24"/>
          <w:szCs w:val="24"/>
        </w:rPr>
        <w:t xml:space="preserve">Как случается достаточно часто, у истоков этого встречного движения стояло непонимание и отторжение. </w:t>
      </w:r>
      <w:r>
        <w:rPr>
          <w:rFonts w:eastAsia="MingLiU;細明體" w:cs="Garamond" w:ascii="Garamond" w:hAnsi="Garamond"/>
          <w:bCs/>
          <w:sz w:val="24"/>
          <w:szCs w:val="24"/>
        </w:rPr>
        <w:t xml:space="preserve">Проповедники-иезуиты попали на службу к китайскому императору еще в начале XVII в., во времена многотрудного прибытия в Пекин миссии, ведомой Маттео Риччи, при последней исконно китайской династии Мин (1368–1644). За несколько столетий до изобретения «метода погружения» при изучении иностранного языка, с самого начала своего пребывания в Китае итальянский проповедник, первым из коллег взявший себе китайское имя, требовал, чтобы его соратники учили язык страны пребывания прямо в чужеродной среде, максимально адаптировались и как можно более активно приспосабливались к китайскому образу жизни, и по одежде, и по манере поведения вызывая минимум отторжения ввиду своего заморского происхождения [Дубровская, 2001, с. 73–75]. Важность и революционность подобного подхода, кажущегося ныне очевидным, нельзя недооценить. В стране, где до сих пор оглядываются при виде непривычного лица и называют иностранцев «рыжеволосыми дьяволами» и «высокими носами», завоевать доверие и уважение местной интеллектуальной элиты (а именно элита всегда интересовала иезуитов при первоначальной проповеди) можно было только приняв столь революционные решения, соответствовавшие выработанной иезуитами концепции аккомодативной теологии и «правилам Маттео Риччи» </w:t>
      </w:r>
      <w:r>
        <w:rPr>
          <w:rFonts w:eastAsia="MingLiU;細明體" w:cs="Garamond" w:ascii="Garamond" w:hAnsi="Garamond"/>
          <w:sz w:val="24"/>
          <w:szCs w:val="24"/>
        </w:rPr>
        <w:t>(</w:t>
      </w:r>
      <w:r>
        <w:rPr>
          <w:rFonts w:ascii="Garamond" w:hAnsi="Garamond" w:eastAsia="MingLiU;細明體"/>
          <w:sz w:val="24"/>
          <w:szCs w:val="24"/>
        </w:rPr>
        <w:t>利瑪竇規矩</w:t>
      </w:r>
      <w:r>
        <w:rPr>
          <w:rFonts w:eastAsia="MingLiU;細明體" w:cs="Garamond" w:ascii="Garamond" w:hAnsi="Garamond"/>
          <w:sz w:val="24"/>
          <w:szCs w:val="24"/>
        </w:rPr>
        <w:t xml:space="preserve">; </w:t>
      </w:r>
      <w:r>
        <w:rPr>
          <w:rFonts w:eastAsia="MingLiU;細明體" w:cs="Garamond" w:ascii="Garamond" w:hAnsi="Garamond"/>
          <w:i/>
          <w:iCs/>
          <w:sz w:val="24"/>
          <w:szCs w:val="24"/>
        </w:rPr>
        <w:t>Ли Мадоу гуйцзюй</w:t>
      </w:r>
      <w:r>
        <w:rPr>
          <w:rFonts w:eastAsia="MingLiU;細明體" w:cs="Garamond" w:ascii="Garamond" w:hAnsi="Garamond"/>
          <w:bCs/>
          <w:sz w:val="24"/>
          <w:szCs w:val="24"/>
        </w:rPr>
        <w:t>) [</w:t>
      </w:r>
      <w:r>
        <w:rPr>
          <w:rFonts w:eastAsia="MingLiU;細明體" w:cs="Garamond" w:ascii="Garamond" w:hAnsi="Garamond"/>
          <w:sz w:val="24"/>
          <w:szCs w:val="24"/>
        </w:rPr>
        <w:t>Rule, 2010</w:t>
      </w:r>
      <w:r>
        <w:rPr>
          <w:rFonts w:eastAsia="MingLiU;細明體" w:cs="Garamond" w:ascii="Garamond" w:hAnsi="Garamond"/>
          <w:bCs/>
          <w:sz w:val="24"/>
          <w:szCs w:val="24"/>
        </w:rPr>
        <w:t>].</w:t>
      </w:r>
    </w:p>
    <w:p>
      <w:pPr>
        <w:pStyle w:val="Normal"/>
        <w:ind w:end="-31" w:firstLine="720"/>
        <w:jc w:val="both"/>
        <w:rPr>
          <w:rFonts w:ascii="Garamond" w:hAnsi="Garamond" w:eastAsia="MingLiU;細明體" w:cs="Garamond"/>
          <w:bCs/>
          <w:sz w:val="24"/>
          <w:szCs w:val="24"/>
        </w:rPr>
      </w:pPr>
      <w:r>
        <w:rPr>
          <w:rFonts w:eastAsia="MingLiU;細明體" w:cs="Garamond" w:ascii="Garamond" w:hAnsi="Garamond"/>
          <w:bCs/>
          <w:sz w:val="24"/>
          <w:szCs w:val="24"/>
        </w:rPr>
        <w:t xml:space="preserve">Сменив платье священника на костюм китайского сановника, Риччи обнаружил, что изменение внешности почти мгновенно изменило и его собственное восприятие местными людьми. К этому удачному ходу добавились потрясающие способности миссионера из итальянского города Мачерата к китайскому языку и конфуцианской учености, феноменальная, практически эйдетическая память и умение складно и доходчиво писать по-китайски [Дубровская, 2020]. Все это вызывало восхищение удивительным чужестранцем. Однако нельзя забывать, что в первую очередь отец Риччи был миссионером и поэтому пользовался любой возможностью достичь своей главной цели — представить в Китае христианство. В ход пошли привезенные из Европы иллюстрированные книги и картины маслом, призванные послужить иллюстративным материалом и помочь в деле образования и обращения. </w:t>
      </w:r>
    </w:p>
    <w:p>
      <w:pPr>
        <w:pStyle w:val="Normal"/>
        <w:ind w:end="-31" w:firstLine="720"/>
        <w:jc w:val="both"/>
        <w:rPr/>
      </w:pPr>
      <w:r>
        <w:rPr>
          <w:rFonts w:eastAsia="MingLiU;細明體" w:cs="Garamond" w:ascii="Garamond" w:hAnsi="Garamond"/>
          <w:bCs/>
          <w:sz w:val="24"/>
          <w:szCs w:val="24"/>
        </w:rPr>
        <w:t>Так, Риччи писал корреспонденту в Европу: «Эти изображения необходимы, ибо позволяют нам утешать наших новообращенных и помогают им» [</w:t>
      </w:r>
      <w:r>
        <w:rPr>
          <w:rFonts w:eastAsia="MingLiU;細明體" w:cs="Garamond" w:ascii="Garamond" w:hAnsi="Garamond"/>
          <w:sz w:val="24"/>
          <w:szCs w:val="24"/>
          <w:lang w:eastAsia="en-US"/>
        </w:rPr>
        <w:t xml:space="preserve">The Diary of Matthew Ricci, 1942, </w:t>
      </w:r>
      <w:r>
        <w:rPr>
          <w:rFonts w:eastAsia="MingLiU;細明體" w:cs="Garamond" w:ascii="Garamond" w:hAnsi="Garamond"/>
          <w:sz w:val="24"/>
          <w:szCs w:val="24"/>
          <w:lang w:val="en-US" w:eastAsia="en-US"/>
        </w:rPr>
        <w:t>p</w:t>
      </w:r>
      <w:r>
        <w:rPr>
          <w:rFonts w:eastAsia="MingLiU;細明體" w:cs="Garamond" w:ascii="Garamond" w:hAnsi="Garamond"/>
          <w:sz w:val="24"/>
          <w:szCs w:val="24"/>
          <w:lang w:eastAsia="en-US"/>
        </w:rPr>
        <w:t>. 652</w:t>
      </w:r>
      <w:r>
        <w:rPr>
          <w:rFonts w:eastAsia="MingLiU;細明體" w:cs="Garamond" w:ascii="Garamond" w:hAnsi="Garamond"/>
          <w:bCs/>
          <w:sz w:val="24"/>
          <w:szCs w:val="24"/>
        </w:rPr>
        <w:t>]</w:t>
      </w:r>
      <w:r>
        <w:rPr>
          <w:rStyle w:val="Style13"/>
          <w:rStyle w:val="Style19"/>
          <w:rFonts w:eastAsia="MingLiU;細明體" w:cs="Garamond" w:ascii="Garamond" w:hAnsi="Garamond"/>
          <w:bCs/>
          <w:sz w:val="24"/>
          <w:szCs w:val="24"/>
        </w:rPr>
        <w:footnoteReference w:id="4"/>
      </w:r>
      <w:r>
        <w:rPr>
          <w:rFonts w:eastAsia="MingLiU;細明體" w:cs="Garamond" w:ascii="Garamond" w:hAnsi="Garamond"/>
          <w:bCs/>
          <w:sz w:val="24"/>
          <w:szCs w:val="24"/>
        </w:rPr>
        <w:t>. Человек множества дарований, Ситай даже неоднократно лично использовал технику гравирования, стараясь с ее помощью «перевести» традиционные для христианства образы в некую китайскую форму (оттиски произведенных им изображений и знаменитых карт хранятся в Ватиканской библиотеке)</w:t>
      </w:r>
      <w:r>
        <w:rPr>
          <w:rStyle w:val="Style13"/>
          <w:rStyle w:val="Style19"/>
          <w:rFonts w:eastAsia="MingLiU;細明體" w:cs="Garamond" w:ascii="Garamond" w:hAnsi="Garamond"/>
          <w:bCs/>
          <w:sz w:val="24"/>
          <w:szCs w:val="24"/>
        </w:rPr>
        <w:footnoteReference w:id="5"/>
      </w:r>
      <w:r>
        <w:rPr>
          <w:rFonts w:eastAsia="MingLiU;細明體" w:cs="Garamond" w:ascii="Garamond" w:hAnsi="Garamond"/>
          <w:bCs/>
          <w:sz w:val="24"/>
          <w:szCs w:val="24"/>
        </w:rPr>
        <w:t xml:space="preserve">. Однако одного лишь знакомства китайских друзей итальянского миссионера с христианскими изобразительными сюжетами или иконографией не хватало: скоро стало ясно, что перед миссионерами стоят едва преодолимые культурные и даже, как мы бы сказали сейчас, онтологические и </w:t>
      </w:r>
      <w:r>
        <w:rPr>
          <w:rFonts w:eastAsia="MingLiU;細明體" w:cs="Garamond" w:ascii="Garamond" w:hAnsi="Garamond"/>
          <w:bCs/>
          <w:i/>
          <w:sz w:val="24"/>
          <w:szCs w:val="24"/>
        </w:rPr>
        <w:t>цивилизационные</w:t>
      </w:r>
      <w:r>
        <w:rPr>
          <w:rFonts w:eastAsia="MingLiU;細明體" w:cs="Garamond" w:ascii="Garamond" w:hAnsi="Garamond"/>
          <w:bCs/>
          <w:sz w:val="24"/>
          <w:szCs w:val="24"/>
        </w:rPr>
        <w:t xml:space="preserve"> препятствия, мешающие понимать изобразительное искусство друг друга — с обеих сторон. </w:t>
      </w:r>
    </w:p>
    <w:p>
      <w:pPr>
        <w:pStyle w:val="Normal"/>
        <w:ind w:end="-31" w:firstLine="720"/>
        <w:jc w:val="both"/>
        <w:rPr>
          <w:rFonts w:ascii="Garamond" w:hAnsi="Garamond" w:eastAsia="MingLiU;細明體" w:cs="Garamond"/>
          <w:bCs/>
          <w:sz w:val="24"/>
          <w:szCs w:val="24"/>
        </w:rPr>
      </w:pPr>
      <w:r>
        <w:rPr>
          <w:rFonts w:eastAsia="MingLiU;細明體" w:cs="Garamond" w:ascii="Garamond" w:hAnsi="Garamond"/>
          <w:bCs/>
          <w:sz w:val="24"/>
          <w:szCs w:val="24"/>
        </w:rPr>
        <w:t>Несмотря на всю несравненную, особенно по тем временам, открытость чужеродной культуре и искреннее восхищение ею, невзирая на поразительные способности к быстрому восприятию языка и приспособляемости к образу жизни китайцев, Маттео Риччи не был в состоянии до конца понять и принять китайскую живописную манеру (заметим, что подобная скорее всего и не значилась среди первых пунктов списка его неотложных проблем в Срединном государстве). Свидетельства о том, как трудно основателю миссии было принять визуальную культуру минского Китая, можно найти в его письмах-донесениях в Европу: «Китайцы широко используют картины... но при изготовлении их они отнюдь не приобрели умения, присущего европейцам. Они ничего не знают об искусстве писания картин маслом или об использовании перспективы, а в результате картинам не хватает жизненности» [</w:t>
      </w:r>
      <w:r>
        <w:rPr>
          <w:rFonts w:eastAsia="MingLiU;細明體" w:cs="Garamond" w:ascii="Garamond" w:hAnsi="Garamond"/>
          <w:sz w:val="24"/>
          <w:szCs w:val="24"/>
        </w:rPr>
        <w:t>Beurdeley, Sullivan, 1971, p. 48</w:t>
      </w:r>
      <w:r>
        <w:rPr>
          <w:rFonts w:eastAsia="MingLiU;細明體" w:cs="Garamond" w:ascii="Garamond" w:hAnsi="Garamond"/>
          <w:bCs/>
          <w:sz w:val="24"/>
          <w:szCs w:val="24"/>
        </w:rPr>
        <w:t>].</w:t>
      </w:r>
    </w:p>
    <w:p>
      <w:pPr>
        <w:pStyle w:val="Normal"/>
        <w:ind w:end="-31" w:firstLine="720"/>
        <w:jc w:val="both"/>
        <w:rPr/>
      </w:pPr>
      <w:r>
        <w:rPr>
          <w:rFonts w:eastAsia="MingLiU;細明體" w:cs="Garamond" w:ascii="Garamond" w:hAnsi="Garamond"/>
          <w:bCs/>
          <w:sz w:val="24"/>
          <w:szCs w:val="24"/>
        </w:rPr>
        <w:t xml:space="preserve">Что же понимал Маттео Риччи под жизненностью? Скорее всего, умение выписывать объем, создавать иллюзию трехмерности и общее движение к натуроподобию и реалистичности, до середины XIX в. представлявших собой священный Грааль европейского искусства. Понятно, что у Маттео Риччи, не являвшегося художником, не было ни сил, ни знаний, ни времени, чтобы понять причины </w:t>
      </w:r>
      <w:r>
        <w:rPr>
          <w:rFonts w:eastAsia="MingLiU;細明體" w:cs="Garamond" w:ascii="Garamond" w:hAnsi="Garamond"/>
          <w:bCs/>
          <w:i/>
          <w:iCs/>
          <w:sz w:val="24"/>
          <w:szCs w:val="24"/>
        </w:rPr>
        <w:t>не</w:t>
      </w:r>
      <w:r>
        <w:rPr>
          <w:rFonts w:eastAsia="MingLiU;細明體" w:cs="Garamond" w:ascii="Garamond" w:hAnsi="Garamond"/>
          <w:bCs/>
          <w:sz w:val="24"/>
          <w:szCs w:val="24"/>
        </w:rPr>
        <w:t>возникновения в Китае техники масляной живописи и принципиального отсутствия интереса к «жизненности» в китайской художественной теории и практике. Если бы у итальянского иезуита оставалось больше времени на «культурный досуг» вне литературно-философских штудий, он бы наверняка понял, что иероглифическое мышление китайцев и не могло породить живопись, не привязанную к спонтанному и в то же время слитому с мыслью и замыслом движению кисти.</w:t>
      </w:r>
    </w:p>
    <w:p>
      <w:pPr>
        <w:pStyle w:val="Normal"/>
        <w:ind w:end="-31" w:firstLine="720"/>
        <w:jc w:val="both"/>
        <w:rPr>
          <w:rFonts w:ascii="Garamond" w:hAnsi="Garamond" w:eastAsia="MingLiU;細明體" w:cs="Garamond"/>
          <w:bCs/>
          <w:sz w:val="24"/>
          <w:szCs w:val="24"/>
        </w:rPr>
      </w:pPr>
      <w:r>
        <w:rPr>
          <w:rFonts w:eastAsia="MingLiU;細明體" w:cs="Garamond" w:ascii="Garamond" w:hAnsi="Garamond"/>
          <w:bCs/>
          <w:sz w:val="24"/>
          <w:szCs w:val="24"/>
        </w:rPr>
        <w:t xml:space="preserve">Для понимания того, как изменилась ситуация в плане восприятия искусства и иезуитами, и их китайскими знакомыми, приведем в пример один случай, иллюстрирующий взаимоотношения традиционных китайских и европейских взглядов на искусство, предшествовавший появлению на маньчжуро-китайской художественной сцене Джузеппе Кастильоне. </w:t>
      </w:r>
    </w:p>
    <w:p>
      <w:pPr>
        <w:pStyle w:val="Style29"/>
        <w:ind w:end="-31" w:firstLine="720"/>
        <w:jc w:val="both"/>
        <w:rPr>
          <w:rFonts w:ascii="Garamond" w:hAnsi="Garamond" w:eastAsia="MingLiU;細明體" w:cs="Garamond"/>
          <w:bCs/>
        </w:rPr>
      </w:pPr>
      <w:r>
        <w:rPr>
          <w:rFonts w:eastAsia="MingLiU;細明體" w:cs="Garamond" w:ascii="Garamond" w:hAnsi="Garamond"/>
          <w:bCs/>
        </w:rPr>
        <w:t xml:space="preserve">Речь идет о китайском художнике-иезуите </w:t>
      </w:r>
      <w:r>
        <w:rPr>
          <w:rFonts w:eastAsia="MingLiU;細明體" w:cs="Garamond" w:ascii="Garamond" w:hAnsi="Garamond"/>
          <w:b/>
        </w:rPr>
        <w:t>У Ли</w:t>
      </w:r>
      <w:r>
        <w:rPr>
          <w:rFonts w:eastAsia="MingLiU;細明體" w:cs="Garamond" w:ascii="Garamond" w:hAnsi="Garamond"/>
          <w:bCs/>
        </w:rPr>
        <w:t xml:space="preserve"> (</w:t>
      </w:r>
      <w:r>
        <w:rPr>
          <w:rFonts w:ascii="Garamond" w:hAnsi="Garamond" w:eastAsia="MingLiU;細明體"/>
        </w:rPr>
        <w:t>吳歷</w:t>
      </w:r>
      <w:r>
        <w:rPr>
          <w:rFonts w:eastAsia="MingLiU;細明體" w:cs="Garamond" w:ascii="Garamond" w:hAnsi="Garamond"/>
        </w:rPr>
        <w:t xml:space="preserve">; </w:t>
      </w:r>
      <w:r>
        <w:rPr>
          <w:rFonts w:eastAsia="MingLiU;細明體" w:cs="Garamond" w:ascii="Garamond" w:hAnsi="Garamond"/>
          <w:bCs/>
        </w:rPr>
        <w:t xml:space="preserve">1632–1718). В пейзаже «Весна приходит на озеро» (ныне в Шанхайском художественном музее) </w:t>
      </w:r>
      <w:r>
        <w:rPr>
          <w:rFonts w:eastAsia="MingLiU;細明體" w:cs="Garamond" w:ascii="Garamond" w:hAnsi="Garamond"/>
          <w:bCs/>
          <w:i/>
        </w:rPr>
        <w:t>(илл. 2)</w:t>
      </w:r>
      <w:r>
        <w:rPr>
          <w:rFonts w:eastAsia="MingLiU;細明體" w:cs="Garamond" w:ascii="Garamond" w:hAnsi="Garamond"/>
          <w:bCs/>
        </w:rPr>
        <w:t xml:space="preserve"> У Ли продемонстрировал столь не хватавшую Маттео Риччи «жизненность» в другом — китайском — стиле, без помощи темперы или масляных красок и прямой перспективы [Дубровская, 2018а; 2019а]. Для понимания случая У Ли важно, что он был одновременно и иезуитом, и, как видно из имени художника, китайцем — одним из признанных «Шести мастеров [ранней династии] Цин» (</w:t>
      </w:r>
      <w:r>
        <w:rPr>
          <w:rFonts w:ascii="Garamond" w:hAnsi="Garamond" w:eastAsia="MingLiU;細明體"/>
          <w:shd w:fill="FFFFFF" w:val="clear"/>
        </w:rPr>
        <w:t>清六家</w:t>
      </w:r>
      <w:r>
        <w:rPr>
          <w:rFonts w:eastAsia="MingLiU;細明體" w:cs="Garamond" w:ascii="Garamond" w:hAnsi="Garamond"/>
          <w:shd w:fill="FFFFFF" w:val="clear"/>
        </w:rPr>
        <w:t xml:space="preserve">; </w:t>
      </w:r>
      <w:r>
        <w:rPr>
          <w:rFonts w:eastAsia="MingLiU;細明體" w:cs="Garamond" w:ascii="Garamond" w:hAnsi="Garamond"/>
          <w:i/>
          <w:iCs/>
          <w:shd w:fill="FFFFFF" w:val="clear"/>
        </w:rPr>
        <w:t>Цин люцзя</w:t>
      </w:r>
      <w:r>
        <w:rPr>
          <w:rFonts w:eastAsia="MingLiU;細明體" w:cs="Garamond" w:ascii="Garamond" w:hAnsi="Garamond"/>
          <w:bCs/>
        </w:rPr>
        <w:t xml:space="preserve">) [Цыхай, 1979, </w:t>
      </w:r>
      <w:r>
        <w:rPr>
          <w:rFonts w:eastAsia="MingLiU;細明體" w:cs="Garamond" w:ascii="Garamond" w:hAnsi="Garamond"/>
          <w:bCs/>
          <w:lang w:val="en-US"/>
        </w:rPr>
        <w:t>p</w:t>
      </w:r>
      <w:r>
        <w:rPr>
          <w:rFonts w:eastAsia="MingLiU;細明體" w:cs="Garamond" w:ascii="Garamond" w:hAnsi="Garamond"/>
          <w:bCs/>
        </w:rPr>
        <w:t>. 958; Bailey, 1999, p. 87]. У Ли перешел в христианство, уже став известным каллиграфом и художником-пейзажистом, а еще через некоторое время принял священнический сан, подобно многим новым обращенным, принадлежавшим к довольно многочисленному второму поколению иезуитов, родившихся в Китае и взращенных последователями Маттео Риччи. Весьма тонкий и чувствительный человек, У Ли в лучших традициях китайского искусства глубоко чувствовал красоту природы, будучи не только художником, но и поэтом, рано открывшим в себе тягу к высокой духовности [</w:t>
      </w:r>
      <w:r>
        <w:rPr>
          <w:rFonts w:eastAsia="MingLiU;細明體" w:cs="Garamond" w:ascii="Garamond" w:hAnsi="Garamond"/>
          <w:bCs/>
          <w:lang w:val="en-US"/>
        </w:rPr>
        <w:t>Chaves</w:t>
      </w:r>
      <w:r>
        <w:rPr>
          <w:rFonts w:eastAsia="MingLiU;細明體" w:cs="Garamond" w:ascii="Garamond" w:hAnsi="Garamond"/>
          <w:bCs/>
        </w:rPr>
        <w:t>, 2002]. Так, он писал: «</w:t>
      </w:r>
      <w:r>
        <w:rPr>
          <w:rFonts w:eastAsia="MingLiU;細明體" w:cs="Garamond" w:ascii="Garamond" w:hAnsi="Garamond"/>
        </w:rPr>
        <w:t>Дела человеческие, большие ли, малые ли, похожи на сон. Разве рисование не сон? Мне снятся горы, потоки, трава и деревья, я мечтаю при помощи кисти и туши, в этом все»</w:t>
      </w:r>
      <w:r>
        <w:rPr>
          <w:rStyle w:val="Style13"/>
          <w:rStyle w:val="Style19"/>
          <w:rFonts w:eastAsia="MingLiU;細明體" w:cs="Garamond" w:ascii="Garamond" w:hAnsi="Garamond"/>
        </w:rPr>
        <w:footnoteReference w:id="6"/>
      </w:r>
      <w:r>
        <w:rPr>
          <w:rFonts w:eastAsia="MingLiU;細明體" w:cs="Garamond" w:ascii="Garamond" w:hAnsi="Garamond"/>
        </w:rPr>
        <w:t>.</w:t>
      </w:r>
    </w:p>
    <w:p>
      <w:pPr>
        <w:pStyle w:val="Style29"/>
        <w:ind w:end="-31" w:firstLine="720"/>
        <w:jc w:val="both"/>
        <w:rPr>
          <w:rFonts w:ascii="Garamond" w:hAnsi="Garamond" w:eastAsia="MingLiU;細明體" w:cs="Garamond"/>
          <w:bCs/>
          <w:lang w:val="en-US"/>
        </w:rPr>
      </w:pPr>
      <w:r>
        <w:rPr>
          <w:rFonts w:eastAsia="MingLiU;細明體" w:cs="Garamond" w:ascii="Garamond" w:hAnsi="Garamond"/>
          <w:bCs/>
        </w:rPr>
        <w:t xml:space="preserve">Родители окрестили У Ли еще в младенческом возрасте, отнеся для этого к одному из учеников Маттео Риччи, однако к осознанному христианству он пришел гораздо позже, уже взрослым, после того как в течение одного года потерял одновременно жену и мать, умерших в 1661 г. После этой трагедии У Ли долго искал утешения в чань-буддийских практиках и конфуцианской мудрости, однако душевное спокойствие нашел только католицизме. В 1682 г., в возрасте 45 лет художник вступил в орден Иисуса и провел долгих шесть лет, обучаясь в семинарии при храме в Макао, где был покорен красотой литургии, органной музыки и другими яркими проявлениями новой для него веры [Дубровская, 2018в]. В Макао У Ли создал свои самые прочувствованные стихотворения, а получив причастие, написал: «Жертва Христа принесена на благо всех людей, это священная жертва Духа. Христос прощает все ошибки и человеческие слабости. Даже такого грешного человека, как я. Я так растроган, что не могу сдержать слезы» (см. [Bailey, 1999, </w:t>
      </w:r>
      <w:r>
        <w:rPr>
          <w:rFonts w:eastAsia="MingLiU;細明體" w:cs="Garamond" w:ascii="Garamond" w:hAnsi="Garamond"/>
          <w:bCs/>
          <w:lang w:val="en-US"/>
        </w:rPr>
        <w:t>p</w:t>
      </w:r>
      <w:r>
        <w:rPr>
          <w:rFonts w:eastAsia="MingLiU;細明體" w:cs="Garamond" w:ascii="Garamond" w:hAnsi="Garamond"/>
          <w:bCs/>
        </w:rPr>
        <w:t>. 89]).</w:t>
      </w:r>
    </w:p>
    <w:p>
      <w:pPr>
        <w:pStyle w:val="Style29"/>
        <w:ind w:end="-31" w:firstLine="720"/>
        <w:jc w:val="both"/>
        <w:rPr>
          <w:rFonts w:ascii="Garamond" w:hAnsi="Garamond" w:eastAsia="MingLiU;細明體" w:cs="Garamond"/>
          <w:bCs/>
          <w:sz w:val="16"/>
          <w:szCs w:val="16"/>
          <w:lang w:val="en-US"/>
        </w:rPr>
      </w:pPr>
      <w:r>
        <w:rPr>
          <w:rFonts w:eastAsia="MingLiU;細明體" w:cs="Garamond" w:ascii="Garamond" w:hAnsi="Garamond"/>
          <w:bCs/>
          <w:sz w:val="16"/>
          <w:szCs w:val="16"/>
          <w:lang w:val="en-US"/>
        </w:rPr>
      </w:r>
    </w:p>
    <w:tbl>
      <w:tblPr>
        <w:tblW w:w="9005" w:type="dxa"/>
        <w:jc w:val="start"/>
        <w:tblInd w:w="-108" w:type="dxa"/>
        <w:tblLayout w:type="fixed"/>
        <w:tblCellMar>
          <w:top w:w="0" w:type="dxa"/>
          <w:start w:w="108" w:type="dxa"/>
          <w:bottom w:w="0" w:type="dxa"/>
          <w:end w:w="108" w:type="dxa"/>
        </w:tblCellMar>
      </w:tblPr>
      <w:tblGrid>
        <w:gridCol w:w="4502"/>
        <w:gridCol w:w="4503"/>
      </w:tblGrid>
      <w:tr>
        <w:trPr/>
        <w:tc>
          <w:tcPr>
            <w:tcW w:w="4502" w:type="dxa"/>
            <w:tcBorders/>
          </w:tcPr>
          <w:p>
            <w:pPr>
              <w:pStyle w:val="Style29"/>
              <w:ind w:end="-31" w:hanging="0"/>
              <w:jc w:val="both"/>
              <w:rPr>
                <w:rFonts w:ascii="Garamond" w:hAnsi="Garamond" w:eastAsia="MingLiU;細明體" w:cs="Garamond"/>
                <w:i/>
                <w:i/>
                <w:iCs/>
                <w:sz w:val="22"/>
                <w:szCs w:val="22"/>
                <w:shd w:fill="FFFFFF" w:val="clear"/>
                <w:lang w:val="en-US"/>
              </w:rPr>
            </w:pPr>
            <w:r>
              <w:rPr>
                <w:rFonts w:eastAsia="MingLiU;細明體" w:cs="Garamond" w:ascii="Garamond" w:hAnsi="Garamond"/>
                <w:bCs/>
                <w:sz w:val="22"/>
                <w:szCs w:val="22"/>
                <w:lang w:val="en-US"/>
              </w:rPr>
              <w:drawing>
                <wp:inline distT="0" distB="0" distL="0" distR="0">
                  <wp:extent cx="2248535" cy="4424680"/>
                  <wp:effectExtent l="0" t="0" r="0" b="0"/>
                  <wp:docPr id="5" name="Изображение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2" descr="" title=""/>
                          <pic:cNvPicPr>
                            <a:picLocks noChangeAspect="1" noChangeArrowheads="1"/>
                          </pic:cNvPicPr>
                        </pic:nvPicPr>
                        <pic:blipFill>
                          <a:blip r:embed="rId4"/>
                          <a:srcRect l="-7" t="-4" r="-7" b="-4"/>
                          <a:stretch>
                            <a:fillRect/>
                          </a:stretch>
                        </pic:blipFill>
                        <pic:spPr bwMode="auto">
                          <a:xfrm>
                            <a:off x="0" y="0"/>
                            <a:ext cx="2248535" cy="4424680"/>
                          </a:xfrm>
                          <a:prstGeom prst="rect">
                            <a:avLst/>
                          </a:prstGeom>
                        </pic:spPr>
                      </pic:pic>
                    </a:graphicData>
                  </a:graphic>
                </wp:inline>
              </w:drawing>
            </w:r>
          </w:p>
          <w:p>
            <w:pPr>
              <w:pStyle w:val="Style29"/>
              <w:ind w:end="-31" w:hanging="0"/>
              <w:jc w:val="center"/>
              <w:rPr/>
            </w:pPr>
            <w:r>
              <w:rPr>
                <w:rFonts w:eastAsia="MingLiU;細明體" w:cs="Garamond" w:ascii="Garamond" w:hAnsi="Garamond"/>
                <w:i/>
                <w:iCs/>
                <w:sz w:val="22"/>
                <w:szCs w:val="22"/>
                <w:shd w:fill="FFFFFF" w:val="clear"/>
              </w:rPr>
              <w:t>Илл. 2.</w:t>
            </w:r>
            <w:r>
              <w:rPr>
                <w:rFonts w:eastAsia="MingLiU;細明體" w:cs="Garamond" w:ascii="Garamond" w:hAnsi="Garamond"/>
                <w:sz w:val="22"/>
                <w:szCs w:val="22"/>
                <w:shd w:fill="FFFFFF" w:val="clear"/>
              </w:rPr>
              <w:t xml:space="preserve"> У Ли</w:t>
            </w:r>
            <w:r>
              <w:rPr>
                <w:rFonts w:eastAsia="MingLiU;細明體" w:cs="Garamond" w:ascii="Garamond" w:hAnsi="Garamond"/>
                <w:sz w:val="22"/>
                <w:szCs w:val="22"/>
                <w:shd w:fill="FFFFFF" w:val="clear"/>
                <w:lang w:val="en-US"/>
              </w:rPr>
              <w:t xml:space="preserve"> </w:t>
            </w:r>
            <w:r>
              <w:rPr>
                <w:rFonts w:eastAsia="MingLiU;細明體" w:cs="Garamond" w:ascii="Garamond" w:hAnsi="Garamond"/>
                <w:sz w:val="22"/>
                <w:szCs w:val="22"/>
              </w:rPr>
              <w:t>(1632–1718)</w:t>
            </w:r>
            <w:r>
              <w:rPr>
                <w:rFonts w:eastAsia="MingLiU;細明體" w:cs="Garamond" w:ascii="Garamond" w:hAnsi="Garamond"/>
                <w:sz w:val="22"/>
                <w:szCs w:val="22"/>
                <w:shd w:fill="FFFFFF" w:val="clear"/>
              </w:rPr>
              <w:t xml:space="preserve">. </w:t>
            </w:r>
            <w:r>
              <w:rPr>
                <w:rFonts w:eastAsia="MingLiU;細明體" w:cs="Garamond" w:ascii="Garamond" w:hAnsi="Garamond"/>
                <w:bCs/>
                <w:sz w:val="22"/>
                <w:szCs w:val="22"/>
                <w:shd w:fill="FFFFFF" w:val="clear"/>
              </w:rPr>
              <w:t>Весна приходит на озеро</w:t>
            </w:r>
            <w:r>
              <w:rPr>
                <w:rFonts w:eastAsia="MingLiU;細明體" w:cs="Garamond" w:ascii="Garamond" w:hAnsi="Garamond"/>
                <w:sz w:val="22"/>
                <w:szCs w:val="22"/>
                <w:shd w:fill="FFFFFF" w:val="clear"/>
              </w:rPr>
              <w:t xml:space="preserve">. Вертикальный свиток. 1676 г. Бумага, тушь. </w:t>
            </w:r>
            <w:r>
              <w:rPr>
                <w:rFonts w:eastAsia="MingLiU;細明體" w:cs="Garamond" w:ascii="Garamond" w:hAnsi="Garamond"/>
                <w:sz w:val="22"/>
                <w:szCs w:val="22"/>
              </w:rPr>
              <w:t>123,8</w:t>
            </w:r>
            <w:r>
              <w:rPr>
                <w:rFonts w:eastAsia="MingLiU;細明體" w:cs="Garamond" w:ascii="Garamond" w:hAnsi="Garamond"/>
                <w:sz w:val="22"/>
                <w:szCs w:val="22"/>
                <w:lang w:val="en-US"/>
              </w:rPr>
              <w:t> </w:t>
            </w:r>
            <w:r>
              <w:rPr>
                <w:rFonts w:eastAsia="MingLiU;細明體" w:cs="Garamond" w:ascii="Garamond" w:hAnsi="Garamond"/>
                <w:sz w:val="22"/>
                <w:szCs w:val="22"/>
              </w:rPr>
              <w:t>×</w:t>
            </w:r>
            <w:r>
              <w:rPr>
                <w:rFonts w:eastAsia="MingLiU;細明體" w:cs="Garamond" w:ascii="Garamond" w:hAnsi="Garamond"/>
                <w:sz w:val="22"/>
                <w:szCs w:val="22"/>
                <w:lang w:val="en-US"/>
              </w:rPr>
              <w:t> </w:t>
            </w:r>
            <w:r>
              <w:rPr>
                <w:rFonts w:eastAsia="MingLiU;細明體" w:cs="Garamond" w:ascii="Garamond" w:hAnsi="Garamond"/>
                <w:sz w:val="22"/>
                <w:szCs w:val="22"/>
              </w:rPr>
              <w:t>62,5 см ©</w:t>
            </w:r>
            <w:r>
              <w:rPr>
                <w:rFonts w:eastAsia="MingLiU;細明體" w:cs="Garamond" w:ascii="Garamond" w:hAnsi="Garamond"/>
                <w:sz w:val="22"/>
                <w:szCs w:val="22"/>
                <w:lang w:val="en-US"/>
              </w:rPr>
              <w:t> </w:t>
            </w:r>
            <w:r>
              <w:rPr>
                <w:rFonts w:eastAsia="MingLiU;細明體" w:cs="Garamond" w:ascii="Garamond" w:hAnsi="Garamond"/>
                <w:sz w:val="22"/>
                <w:szCs w:val="22"/>
                <w:shd w:fill="FFFFFF" w:val="clear"/>
              </w:rPr>
              <w:t>Шанхайский музей</w:t>
            </w:r>
          </w:p>
          <w:p>
            <w:pPr>
              <w:pStyle w:val="Style29"/>
              <w:ind w:end="-31" w:hanging="0"/>
              <w:jc w:val="center"/>
              <w:rPr>
                <w:rFonts w:ascii="Garamond" w:hAnsi="Garamond" w:eastAsia="MingLiU;細明體" w:cs="Garamond"/>
                <w:bCs/>
                <w:sz w:val="22"/>
                <w:szCs w:val="22"/>
              </w:rPr>
            </w:pPr>
            <w:r>
              <w:rPr>
                <w:rFonts w:eastAsia="MingLiU;細明體" w:cs="Garamond" w:ascii="Garamond" w:hAnsi="Garamond"/>
                <w:sz w:val="22"/>
                <w:szCs w:val="22"/>
                <w:shd w:fill="FFFFFF" w:val="clear"/>
              </w:rPr>
              <w:t xml:space="preserve">(по: </w:t>
            </w:r>
            <w:r>
              <w:rPr>
                <w:rFonts w:eastAsia="MingLiU;細明體" w:cs="Garamond" w:ascii="Garamond" w:hAnsi="Garamond"/>
                <w:sz w:val="22"/>
                <w:szCs w:val="22"/>
                <w:shd w:fill="FFFFFF" w:val="clear"/>
                <w:lang w:val="en-US"/>
              </w:rPr>
              <w:t>URL</w:t>
            </w:r>
            <w:r>
              <w:rPr>
                <w:rFonts w:eastAsia="MingLiU;細明體" w:cs="Garamond" w:ascii="Garamond" w:hAnsi="Garamond"/>
                <w:sz w:val="22"/>
                <w:szCs w:val="22"/>
                <w:shd w:fill="FFFFFF" w:val="clear"/>
              </w:rPr>
              <w:t xml:space="preserve">: </w:t>
            </w:r>
            <w:r>
              <w:rPr>
                <w:rFonts w:eastAsia="MingLiU;細明體" w:cs="Garamond" w:ascii="Garamond" w:hAnsi="Garamond"/>
                <w:sz w:val="22"/>
                <w:szCs w:val="22"/>
                <w:shd w:fill="FFFFFF" w:val="clear"/>
                <w:lang w:val="en-US"/>
              </w:rPr>
              <w:t>https</w:t>
            </w:r>
            <w:r>
              <w:rPr>
                <w:rFonts w:eastAsia="MingLiU;細明體" w:cs="Garamond" w:ascii="Garamond" w:hAnsi="Garamond"/>
                <w:sz w:val="22"/>
                <w:szCs w:val="22"/>
                <w:shd w:fill="FFFFFF" w:val="clear"/>
              </w:rPr>
              <w:t>://</w:t>
            </w:r>
            <w:r>
              <w:rPr>
                <w:rFonts w:eastAsia="MingLiU;細明體" w:cs="Garamond" w:ascii="Garamond" w:hAnsi="Garamond"/>
                <w:sz w:val="22"/>
                <w:szCs w:val="22"/>
                <w:shd w:fill="FFFFFF" w:val="clear"/>
                <w:lang w:val="en-US"/>
              </w:rPr>
              <w:t>upload</w:t>
            </w:r>
            <w:r>
              <w:rPr>
                <w:rFonts w:eastAsia="MingLiU;細明體" w:cs="Garamond" w:ascii="Garamond" w:hAnsi="Garamond"/>
                <w:sz w:val="22"/>
                <w:szCs w:val="22"/>
                <w:shd w:fill="FFFFFF" w:val="clear"/>
              </w:rPr>
              <w:t>.</w:t>
            </w:r>
            <w:r>
              <w:rPr>
                <w:rFonts w:eastAsia="MingLiU;細明體" w:cs="Garamond" w:ascii="Garamond" w:hAnsi="Garamond"/>
                <w:sz w:val="22"/>
                <w:szCs w:val="22"/>
                <w:shd w:fill="FFFFFF" w:val="clear"/>
                <w:lang w:val="en-US"/>
              </w:rPr>
              <w:t>wikimedia</w:t>
            </w:r>
            <w:r>
              <w:rPr>
                <w:rFonts w:eastAsia="MingLiU;細明體" w:cs="Garamond" w:ascii="Garamond" w:hAnsi="Garamond"/>
                <w:sz w:val="22"/>
                <w:szCs w:val="22"/>
                <w:shd w:fill="FFFFFF" w:val="clear"/>
              </w:rPr>
              <w:t>.</w:t>
            </w:r>
            <w:r>
              <w:rPr>
                <w:rFonts w:eastAsia="MingLiU;細明體" w:cs="Garamond" w:ascii="Garamond" w:hAnsi="Garamond"/>
                <w:sz w:val="22"/>
                <w:szCs w:val="22"/>
                <w:shd w:fill="FFFFFF" w:val="clear"/>
                <w:lang w:val="en-US"/>
              </w:rPr>
              <w:t>org</w:t>
            </w:r>
            <w:r>
              <w:rPr>
                <w:rFonts w:eastAsia="MingLiU;細明體" w:cs="Garamond" w:ascii="Garamond" w:hAnsi="Garamond"/>
                <w:sz w:val="22"/>
                <w:szCs w:val="22"/>
                <w:shd w:fill="FFFFFF" w:val="clear"/>
              </w:rPr>
              <w:t xml:space="preserve"> /</w:t>
            </w:r>
            <w:r>
              <w:rPr>
                <w:rFonts w:eastAsia="MingLiU;細明體" w:cs="Garamond" w:ascii="Garamond" w:hAnsi="Garamond"/>
                <w:sz w:val="22"/>
                <w:szCs w:val="22"/>
                <w:shd w:fill="FFFFFF" w:val="clear"/>
                <w:lang w:val="en-US"/>
              </w:rPr>
              <w:t>wikipedia</w:t>
            </w:r>
            <w:r>
              <w:rPr>
                <w:rFonts w:eastAsia="MingLiU;細明體" w:cs="Garamond" w:ascii="Garamond" w:hAnsi="Garamond"/>
                <w:sz w:val="22"/>
                <w:szCs w:val="22"/>
                <w:shd w:fill="FFFFFF" w:val="clear"/>
              </w:rPr>
              <w:t>/</w:t>
            </w:r>
            <w:r>
              <w:rPr>
                <w:rFonts w:eastAsia="MingLiU;細明體" w:cs="Garamond" w:ascii="Garamond" w:hAnsi="Garamond"/>
                <w:sz w:val="22"/>
                <w:szCs w:val="22"/>
                <w:shd w:fill="FFFFFF" w:val="clear"/>
                <w:lang w:val="en-US"/>
              </w:rPr>
              <w:t>commons</w:t>
            </w:r>
            <w:r>
              <w:rPr>
                <w:rFonts w:eastAsia="MingLiU;細明體" w:cs="Garamond" w:ascii="Garamond" w:hAnsi="Garamond"/>
                <w:sz w:val="22"/>
                <w:szCs w:val="22"/>
                <w:shd w:fill="FFFFFF" w:val="clear"/>
              </w:rPr>
              <w:t>/</w:t>
            </w:r>
            <w:r>
              <w:rPr>
                <w:rFonts w:eastAsia="MingLiU;細明體" w:cs="Garamond" w:ascii="Garamond" w:hAnsi="Garamond"/>
                <w:sz w:val="22"/>
                <w:szCs w:val="22"/>
                <w:shd w:fill="FFFFFF" w:val="clear"/>
                <w:lang w:val="en-US"/>
              </w:rPr>
              <w:t>b</w:t>
            </w:r>
            <w:r>
              <w:rPr>
                <w:rFonts w:eastAsia="MingLiU;細明體" w:cs="Garamond" w:ascii="Garamond" w:hAnsi="Garamond"/>
                <w:sz w:val="22"/>
                <w:szCs w:val="22"/>
                <w:shd w:fill="FFFFFF" w:val="clear"/>
              </w:rPr>
              <w:t>/</w:t>
            </w:r>
            <w:r>
              <w:rPr>
                <w:rFonts w:eastAsia="MingLiU;細明體" w:cs="Garamond" w:ascii="Garamond" w:hAnsi="Garamond"/>
                <w:sz w:val="22"/>
                <w:szCs w:val="22"/>
                <w:shd w:fill="FFFFFF" w:val="clear"/>
                <w:lang w:val="en-US"/>
              </w:rPr>
              <w:t>b</w:t>
            </w:r>
            <w:r>
              <w:rPr>
                <w:rFonts w:eastAsia="MingLiU;細明體" w:cs="Garamond" w:ascii="Garamond" w:hAnsi="Garamond"/>
                <w:sz w:val="22"/>
                <w:szCs w:val="22"/>
                <w:shd w:fill="FFFFFF" w:val="clear"/>
              </w:rPr>
              <w:t>6/</w:t>
            </w:r>
            <w:r>
              <w:rPr>
                <w:rFonts w:eastAsia="MingLiU;細明體" w:cs="Garamond" w:ascii="Garamond" w:hAnsi="Garamond"/>
                <w:sz w:val="22"/>
                <w:szCs w:val="22"/>
                <w:shd w:fill="FFFFFF" w:val="clear"/>
                <w:lang w:val="en-US"/>
              </w:rPr>
              <w:t>WuLi</w:t>
            </w:r>
            <w:r>
              <w:rPr>
                <w:rFonts w:eastAsia="MingLiU;細明體" w:cs="Garamond" w:ascii="Garamond" w:hAnsi="Garamond"/>
                <w:sz w:val="22"/>
                <w:szCs w:val="22"/>
                <w:shd w:fill="FFFFFF" w:val="clear"/>
              </w:rPr>
              <w:t>-</w:t>
            </w:r>
            <w:r>
              <w:rPr>
                <w:rFonts w:eastAsia="MingLiU;細明體" w:cs="Garamond" w:ascii="Garamond" w:hAnsi="Garamond"/>
                <w:sz w:val="22"/>
                <w:szCs w:val="22"/>
                <w:shd w:fill="FFFFFF" w:val="clear"/>
                <w:lang w:val="en-US"/>
              </w:rPr>
              <w:t>SpringComesToTheLake</w:t>
            </w:r>
            <w:r>
              <w:rPr>
                <w:rFonts w:eastAsia="MingLiU;細明體" w:cs="Garamond" w:ascii="Garamond" w:hAnsi="Garamond"/>
                <w:sz w:val="22"/>
                <w:szCs w:val="22"/>
                <w:shd w:fill="FFFFFF" w:val="clear"/>
              </w:rPr>
              <w:t>-</w:t>
            </w:r>
            <w:r>
              <w:rPr>
                <w:rFonts w:eastAsia="MingLiU;細明體" w:cs="Garamond" w:ascii="Garamond" w:hAnsi="Garamond"/>
                <w:sz w:val="22"/>
                <w:szCs w:val="22"/>
                <w:shd w:fill="FFFFFF" w:val="clear"/>
                <w:lang w:val="en-US"/>
              </w:rPr>
              <w:t>ShanghaiMuseum</w:t>
            </w:r>
            <w:r>
              <w:rPr>
                <w:rFonts w:eastAsia="MingLiU;細明體" w:cs="Garamond" w:ascii="Garamond" w:hAnsi="Garamond"/>
                <w:sz w:val="22"/>
                <w:szCs w:val="22"/>
                <w:shd w:fill="FFFFFF" w:val="clear"/>
              </w:rPr>
              <w:t>-</w:t>
            </w:r>
            <w:r>
              <w:rPr>
                <w:rFonts w:eastAsia="MingLiU;細明體" w:cs="Garamond" w:ascii="Garamond" w:hAnsi="Garamond"/>
                <w:sz w:val="22"/>
                <w:szCs w:val="22"/>
                <w:shd w:fill="FFFFFF" w:val="clear"/>
                <w:lang w:val="en-US"/>
              </w:rPr>
              <w:t>May</w:t>
            </w:r>
            <w:r>
              <w:rPr>
                <w:rFonts w:eastAsia="MingLiU;細明體" w:cs="Garamond" w:ascii="Garamond" w:hAnsi="Garamond"/>
                <w:sz w:val="22"/>
                <w:szCs w:val="22"/>
                <w:shd w:fill="FFFFFF" w:val="clear"/>
              </w:rPr>
              <w:t>27-08.</w:t>
            </w:r>
            <w:r>
              <w:rPr>
                <w:rFonts w:eastAsia="MingLiU;細明體" w:cs="Garamond" w:ascii="Garamond" w:hAnsi="Garamond"/>
                <w:sz w:val="22"/>
                <w:szCs w:val="22"/>
                <w:shd w:fill="FFFFFF" w:val="clear"/>
                <w:lang w:val="en-US"/>
              </w:rPr>
              <w:t>jpg</w:t>
            </w:r>
            <w:r>
              <w:rPr>
                <w:rFonts w:eastAsia="MingLiU;細明體" w:cs="Garamond" w:ascii="Garamond" w:hAnsi="Garamond"/>
                <w:sz w:val="22"/>
                <w:szCs w:val="22"/>
                <w:shd w:fill="FFFFFF" w:val="clear"/>
              </w:rPr>
              <w:t xml:space="preserve"> (дата обращения 05.11.2020))</w:t>
            </w:r>
          </w:p>
        </w:tc>
        <w:tc>
          <w:tcPr>
            <w:tcW w:w="4503" w:type="dxa"/>
            <w:tcBorders/>
          </w:tcPr>
          <w:p>
            <w:pPr>
              <w:pStyle w:val="Style29"/>
              <w:ind w:end="-31" w:hanging="0"/>
              <w:jc w:val="end"/>
              <w:rPr>
                <w:rFonts w:ascii="Garamond" w:hAnsi="Garamond" w:eastAsia="MingLiU;細明體" w:cs="Garamond"/>
                <w:i/>
                <w:i/>
                <w:iCs/>
                <w:sz w:val="22"/>
                <w:szCs w:val="22"/>
                <w:shd w:fill="FFFFFF" w:val="clear"/>
                <w:lang w:val="en-US"/>
              </w:rPr>
            </w:pPr>
            <w:r>
              <w:rPr>
                <w:rFonts w:eastAsia="MingLiU;細明體" w:cs="Garamond" w:ascii="Garamond" w:hAnsi="Garamond"/>
                <w:i/>
                <w:iCs/>
                <w:sz w:val="22"/>
                <w:szCs w:val="22"/>
                <w:shd w:fill="FFFFFF" w:val="clear"/>
              </w:rPr>
              <w:drawing>
                <wp:inline distT="0" distB="0" distL="0" distR="0">
                  <wp:extent cx="1942465" cy="4302125"/>
                  <wp:effectExtent l="0" t="0" r="0" b="0"/>
                  <wp:docPr id="6" name="Изображение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3" descr="" title=""/>
                          <pic:cNvPicPr>
                            <a:picLocks noChangeAspect="1" noChangeArrowheads="1"/>
                          </pic:cNvPicPr>
                        </pic:nvPicPr>
                        <pic:blipFill>
                          <a:blip r:embed="rId5"/>
                          <a:srcRect l="-14" t="-7" r="-14" b="-7"/>
                          <a:stretch>
                            <a:fillRect/>
                          </a:stretch>
                        </pic:blipFill>
                        <pic:spPr bwMode="auto">
                          <a:xfrm>
                            <a:off x="0" y="0"/>
                            <a:ext cx="1942465" cy="4302125"/>
                          </a:xfrm>
                          <a:prstGeom prst="rect">
                            <a:avLst/>
                          </a:prstGeom>
                        </pic:spPr>
                      </pic:pic>
                    </a:graphicData>
                  </a:graphic>
                </wp:inline>
              </w:drawing>
            </w:r>
          </w:p>
          <w:p>
            <w:pPr>
              <w:pStyle w:val="Style29"/>
              <w:ind w:end="-31" w:hanging="0"/>
              <w:jc w:val="center"/>
              <w:rPr/>
            </w:pPr>
            <w:r>
              <w:rPr>
                <w:rFonts w:eastAsia="MingLiU;細明體" w:cs="Garamond" w:ascii="Garamond" w:hAnsi="Garamond"/>
                <w:bCs/>
                <w:i/>
                <w:iCs/>
                <w:sz w:val="22"/>
                <w:szCs w:val="22"/>
              </w:rPr>
              <w:t xml:space="preserve">Илл. 3. </w:t>
            </w:r>
            <w:r>
              <w:rPr>
                <w:rFonts w:eastAsia="MingLiU;細明體" w:cs="Garamond" w:ascii="Garamond" w:hAnsi="Garamond"/>
                <w:sz w:val="22"/>
                <w:szCs w:val="22"/>
              </w:rPr>
              <w:t>У Ли (1632–1718). Путешественники среди гор и потоков (</w:t>
            </w:r>
            <w:r>
              <w:rPr>
                <w:rFonts w:ascii="Garamond" w:hAnsi="Garamond" w:eastAsia="MingLiU;細明體"/>
                <w:sz w:val="22"/>
                <w:szCs w:val="22"/>
                <w:shd w:fill="FFFFFF" w:val="clear"/>
              </w:rPr>
              <w:t>倣王蒙溪山行旅圖</w:t>
            </w:r>
            <w:r>
              <w:rPr>
                <w:rFonts w:ascii="Garamond" w:hAnsi="Garamond" w:cs="Garamond" w:eastAsia="Garamond"/>
                <w:sz w:val="22"/>
                <w:szCs w:val="22"/>
                <w:shd w:fill="FFFFFF" w:val="clear"/>
              </w:rPr>
              <w:t xml:space="preserve"> </w:t>
            </w:r>
            <w:r>
              <w:rPr>
                <w:rFonts w:ascii="Garamond" w:hAnsi="Garamond" w:eastAsia="MingLiU;細明體"/>
                <w:sz w:val="22"/>
                <w:szCs w:val="22"/>
                <w:shd w:fill="FFFFFF" w:val="clear"/>
              </w:rPr>
              <w:t>軸</w:t>
            </w:r>
            <w:r>
              <w:rPr>
                <w:rFonts w:eastAsia="MingLiU;細明體" w:cs="Garamond" w:ascii="Garamond" w:hAnsi="Garamond"/>
                <w:sz w:val="22"/>
                <w:szCs w:val="22"/>
              </w:rPr>
              <w:t xml:space="preserve">). 1670 г. (?) Вертикальный свиток. Бумага, тушь. </w:t>
            </w:r>
            <w:r>
              <w:rPr>
                <w:rFonts w:eastAsia="MingLiU;細明體" w:cs="Garamond" w:ascii="Garamond" w:hAnsi="Garamond"/>
                <w:bCs/>
                <w:sz w:val="22"/>
                <w:szCs w:val="22"/>
                <w:lang w:val="en-US"/>
              </w:rPr>
              <w:t>59,1 </w:t>
            </w:r>
            <w:r>
              <w:rPr>
                <w:rFonts w:eastAsia="MingLiU;細明體" w:cs="Garamond" w:ascii="Garamond" w:hAnsi="Garamond"/>
                <w:sz w:val="22"/>
                <w:szCs w:val="22"/>
                <w:lang w:val="en-US"/>
              </w:rPr>
              <w:t>×</w:t>
            </w:r>
            <w:r>
              <w:rPr>
                <w:rFonts w:eastAsia="MingLiU;細明體" w:cs="Garamond" w:ascii="Garamond" w:hAnsi="Garamond"/>
                <w:bCs/>
                <w:sz w:val="22"/>
                <w:szCs w:val="22"/>
                <w:lang w:val="en-US"/>
              </w:rPr>
              <w:t> 27 </w:t>
            </w:r>
            <w:r>
              <w:rPr>
                <w:rFonts w:eastAsia="MingLiU;細明體" w:cs="Garamond" w:ascii="Garamond" w:hAnsi="Garamond"/>
                <w:bCs/>
                <w:sz w:val="22"/>
                <w:szCs w:val="22"/>
              </w:rPr>
              <w:t>см</w:t>
            </w:r>
            <w:r>
              <w:rPr>
                <w:rFonts w:eastAsia="MingLiU;細明體" w:cs="Garamond" w:ascii="Garamond" w:hAnsi="Garamond"/>
                <w:bCs/>
                <w:sz w:val="22"/>
                <w:szCs w:val="22"/>
                <w:lang w:val="en-US"/>
              </w:rPr>
              <w:t xml:space="preserve"> © </w:t>
            </w:r>
            <w:r>
              <w:rPr>
                <w:rFonts w:eastAsia="MingLiU;細明體" w:cs="Garamond" w:ascii="Garamond" w:hAnsi="Garamond"/>
                <w:sz w:val="22"/>
                <w:szCs w:val="22"/>
                <w:lang w:val="en-US"/>
              </w:rPr>
              <w:t xml:space="preserve">Metropolitan Museum, </w:t>
            </w:r>
            <w:r>
              <w:rPr>
                <w:rFonts w:eastAsia="MingLiU;細明體" w:cs="Garamond" w:ascii="Garamond" w:hAnsi="Garamond"/>
                <w:sz w:val="22"/>
                <w:szCs w:val="22"/>
              </w:rPr>
              <w:t>Нью</w:t>
            </w:r>
            <w:r>
              <w:rPr>
                <w:rFonts w:eastAsia="MingLiU;細明體" w:cs="Garamond" w:ascii="Garamond" w:hAnsi="Garamond"/>
                <w:sz w:val="22"/>
                <w:szCs w:val="22"/>
                <w:lang w:val="en-US"/>
              </w:rPr>
              <w:t>-</w:t>
            </w:r>
            <w:r>
              <w:rPr>
                <w:rFonts w:eastAsia="MingLiU;細明體" w:cs="Garamond" w:ascii="Garamond" w:hAnsi="Garamond"/>
                <w:sz w:val="22"/>
                <w:szCs w:val="22"/>
              </w:rPr>
              <w:t>Йорк</w:t>
            </w:r>
            <w:r>
              <w:rPr>
                <w:rFonts w:eastAsia="MingLiU;細明體" w:cs="Garamond" w:ascii="Garamond" w:hAnsi="Garamond"/>
                <w:sz w:val="22"/>
                <w:szCs w:val="22"/>
                <w:lang w:val="en-US"/>
              </w:rPr>
              <w:t xml:space="preserve"> (</w:t>
            </w:r>
            <w:r>
              <w:rPr>
                <w:rFonts w:eastAsia="MingLiU;細明體" w:cs="Garamond" w:ascii="Garamond" w:hAnsi="Garamond"/>
                <w:sz w:val="22"/>
                <w:szCs w:val="22"/>
              </w:rPr>
              <w:t>по</w:t>
            </w:r>
            <w:r>
              <w:rPr>
                <w:rFonts w:eastAsia="MingLiU;細明體" w:cs="Garamond" w:ascii="Garamond" w:hAnsi="Garamond"/>
                <w:sz w:val="22"/>
                <w:szCs w:val="22"/>
                <w:lang w:val="en-US"/>
              </w:rPr>
              <w:t>: URL: https://www.metmuseum.org/ art/collection/search/41485?searchField=All&amp;amp;sortBy=Relevance&amp;amp;ft=Wu+Li&amp;amp;offset=0&amp;amp;rpp=20&amp;amp;pos=2</w:t>
            </w:r>
          </w:p>
          <w:p>
            <w:pPr>
              <w:pStyle w:val="Style29"/>
              <w:ind w:end="-31" w:hanging="0"/>
              <w:jc w:val="center"/>
              <w:rPr>
                <w:rFonts w:ascii="Garamond" w:hAnsi="Garamond" w:eastAsia="MingLiU;細明體" w:cs="Garamond"/>
                <w:bCs/>
                <w:sz w:val="22"/>
                <w:szCs w:val="22"/>
              </w:rPr>
            </w:pPr>
            <w:r>
              <w:rPr>
                <w:rFonts w:eastAsia="MingLiU;細明體" w:cs="Garamond" w:ascii="Garamond" w:hAnsi="Garamond"/>
                <w:sz w:val="22"/>
                <w:szCs w:val="22"/>
              </w:rPr>
              <w:t>(дата обращения: 08.11.2020))</w:t>
            </w:r>
          </w:p>
        </w:tc>
      </w:tr>
    </w:tbl>
    <w:p>
      <w:pPr>
        <w:pStyle w:val="Normal"/>
        <w:ind w:end="-31" w:firstLine="720"/>
        <w:jc w:val="both"/>
        <w:rPr/>
      </w:pPr>
      <w:r>
        <w:rPr>
          <w:rFonts w:eastAsia="MingLiU;細明體" w:cs="Garamond" w:ascii="Garamond" w:hAnsi="Garamond"/>
          <w:bCs/>
          <w:sz w:val="24"/>
          <w:szCs w:val="24"/>
        </w:rPr>
        <w:t>Однако если общие взгляды на мир и на роль христианской жертвы У Ли и Маттео Риччи в целом совпадали, то их мнения кардинально и естественно разнились, когда речь заходила об изобразительном искусстве: У Ли точно так же не смог принять европейскую живопись, как Риччи китайскую; взгляды китайского иезуита на искусство Запада практически зеркально отражают впечатления Риччи о китайском искусстве. Критикуя приемы и принципы европейской живописи, У Ли отмечал: «Наша живопись не гонится за физической похожестью и не зависит от установленных приемов... мы называем ее божественной и свободной от ограничений. Их же целиком озабочена проблемами света и тени, передней части и задней, установленными образцами физического сходства. Даже подписывая картину, мы пишем наверху изображения, а они</w:t>
      </w:r>
      <w:r>
        <w:rPr>
          <w:rFonts w:eastAsia="MingLiU;細明體" w:cs="Garamond" w:ascii="Garamond" w:hAnsi="Garamond"/>
          <w:bCs/>
          <w:sz w:val="24"/>
          <w:szCs w:val="24"/>
          <w:lang w:val="en-US"/>
        </w:rPr>
        <w:t> </w:t>
      </w:r>
      <w:r>
        <w:rPr>
          <w:rFonts w:eastAsia="MingLiU;細明體" w:cs="Garamond" w:ascii="Garamond" w:hAnsi="Garamond"/>
          <w:bCs/>
          <w:sz w:val="24"/>
          <w:szCs w:val="24"/>
        </w:rPr>
        <w:t>— внизу его. То, как они используют кисть, тоже полностью отличается [от нас]» [</w:t>
      </w:r>
      <w:r>
        <w:rPr>
          <w:rFonts w:eastAsia="MingLiU;細明體" w:cs="Garamond" w:ascii="Garamond" w:hAnsi="Garamond"/>
          <w:bCs/>
          <w:iCs/>
          <w:sz w:val="24"/>
          <w:szCs w:val="24"/>
        </w:rPr>
        <w:t>Chaves</w:t>
      </w:r>
      <w:r>
        <w:rPr>
          <w:rFonts w:eastAsia="MingLiU;細明體" w:cs="Garamond" w:ascii="Garamond" w:hAnsi="Garamond"/>
          <w:bCs/>
          <w:sz w:val="24"/>
          <w:szCs w:val="24"/>
        </w:rPr>
        <w:t xml:space="preserve">, 1993, </w:t>
      </w:r>
      <w:r>
        <w:rPr>
          <w:rFonts w:eastAsia="MingLiU;細明體" w:cs="Garamond" w:ascii="Garamond" w:hAnsi="Garamond"/>
          <w:bCs/>
          <w:sz w:val="24"/>
          <w:szCs w:val="24"/>
          <w:lang w:val="en-US"/>
        </w:rPr>
        <w:t>p</w:t>
      </w:r>
      <w:r>
        <w:rPr>
          <w:rFonts w:eastAsia="MingLiU;細明體" w:cs="Garamond" w:ascii="Garamond" w:hAnsi="Garamond"/>
          <w:bCs/>
          <w:sz w:val="24"/>
          <w:szCs w:val="24"/>
        </w:rPr>
        <w:t xml:space="preserve">. 72] (см. </w:t>
      </w:r>
      <w:r>
        <w:rPr>
          <w:rFonts w:eastAsia="MingLiU;細明體" w:cs="Garamond" w:ascii="Garamond" w:hAnsi="Garamond"/>
          <w:bCs/>
          <w:i/>
          <w:iCs/>
          <w:sz w:val="24"/>
          <w:szCs w:val="24"/>
        </w:rPr>
        <w:t>илл. 3–4</w:t>
      </w:r>
      <w:r>
        <w:rPr>
          <w:rFonts w:eastAsia="MingLiU;細明體" w:cs="Garamond" w:ascii="Garamond" w:hAnsi="Garamond"/>
          <w:bCs/>
          <w:sz w:val="24"/>
          <w:szCs w:val="24"/>
        </w:rPr>
        <w:t>). Фраза об использовании кисти имеет ключевую роль в этой цитате.</w:t>
      </w:r>
    </w:p>
    <w:p>
      <w:pPr>
        <w:pStyle w:val="HTML"/>
        <w:ind w:end="-31" w:firstLine="720"/>
        <w:jc w:val="both"/>
        <w:rPr/>
      </w:pPr>
      <w:r>
        <w:rPr>
          <w:rFonts w:eastAsia="MingLiU;細明體" w:cs="Times New Roman" w:ascii="Garamond" w:hAnsi="Garamond"/>
          <w:bCs/>
          <w:sz w:val="24"/>
          <w:szCs w:val="24"/>
        </w:rPr>
        <w:t xml:space="preserve">В китайской живописи отточенная, виртуозная и свободная работа кистью — именно то, что выделяет истинного художника и каллиграфа, отличает его от ремесленника; каллиграфия вообще стоит в китайской табели о рангах искусства выше, чем живопись </w:t>
      </w:r>
      <w:r>
        <w:rPr>
          <w:rFonts w:eastAsia="MingLiU;細明體" w:cs="Times New Roman" w:ascii="Garamond" w:hAnsi="Garamond"/>
          <w:bCs/>
          <w:sz w:val="24"/>
          <w:szCs w:val="24"/>
          <w:lang w:val="en-US"/>
        </w:rPr>
        <w:t>per</w:t>
      </w:r>
      <w:r>
        <w:rPr>
          <w:rFonts w:eastAsia="MingLiU;細明體" w:cs="Times New Roman" w:ascii="Garamond" w:hAnsi="Garamond"/>
          <w:bCs/>
          <w:sz w:val="24"/>
          <w:szCs w:val="24"/>
        </w:rPr>
        <w:t xml:space="preserve"> </w:t>
      </w:r>
      <w:r>
        <w:rPr>
          <w:rFonts w:eastAsia="MingLiU;細明體" w:cs="Times New Roman" w:ascii="Garamond" w:hAnsi="Garamond"/>
          <w:bCs/>
          <w:sz w:val="24"/>
          <w:szCs w:val="24"/>
          <w:lang w:val="en-US"/>
        </w:rPr>
        <w:t>se</w:t>
      </w:r>
      <w:r>
        <w:rPr>
          <w:rFonts w:eastAsia="MingLiU;細明體" w:cs="Times New Roman" w:ascii="Garamond" w:hAnsi="Garamond"/>
          <w:bCs/>
          <w:sz w:val="24"/>
          <w:szCs w:val="24"/>
        </w:rPr>
        <w:t>; китайская кисть даже иначе захватывается рукой, чем европейская</w:t>
      </w:r>
      <w:r>
        <w:rPr>
          <w:rStyle w:val="Style13"/>
          <w:rStyle w:val="Style19"/>
          <w:rFonts w:eastAsia="MingLiU;細明體" w:cs="Times New Roman" w:ascii="Garamond" w:hAnsi="Garamond"/>
          <w:bCs/>
          <w:sz w:val="24"/>
          <w:szCs w:val="24"/>
        </w:rPr>
        <w:footnoteReference w:id="7"/>
      </w:r>
      <w:r>
        <w:rPr>
          <w:rFonts w:eastAsia="MingLiU;細明體" w:cs="Times New Roman" w:ascii="Garamond" w:hAnsi="Garamond"/>
          <w:bCs/>
          <w:sz w:val="24"/>
          <w:szCs w:val="24"/>
        </w:rPr>
        <w:t xml:space="preserve">, не говоря уже об огромном психофизиологическом комплексе, связанном у китайцев с использованием кисти. Так, каллиграф, художник, поэт и гастрономический авторитет </w:t>
      </w:r>
      <w:r>
        <w:rPr>
          <w:rFonts w:eastAsia="MingLiU;細明體" w:cs="Times New Roman" w:ascii="Garamond" w:hAnsi="Garamond"/>
          <w:sz w:val="24"/>
          <w:szCs w:val="24"/>
        </w:rPr>
        <w:t>Су Ши (</w:t>
      </w:r>
      <w:r>
        <w:rPr>
          <w:rFonts w:ascii="Garamond" w:hAnsi="Garamond" w:cs="Times New Roman" w:eastAsia="MingLiU;細明體"/>
          <w:sz w:val="24"/>
          <w:szCs w:val="24"/>
          <w:shd w:fill="FFFFFF" w:val="clear"/>
        </w:rPr>
        <w:t>蘇軾</w:t>
      </w:r>
      <w:r>
        <w:rPr>
          <w:rFonts w:eastAsia="MingLiU;細明體" w:cs="Times New Roman" w:ascii="Garamond" w:hAnsi="Garamond"/>
          <w:sz w:val="24"/>
          <w:szCs w:val="24"/>
        </w:rPr>
        <w:t>; 1036–1101) в трактате «Рассуждения о каллиграфии» (</w:t>
      </w:r>
      <w:r>
        <w:rPr>
          <w:rFonts w:ascii="Garamond" w:hAnsi="Garamond" w:cs="Times New Roman" w:eastAsia="MingLiU;細明體"/>
          <w:sz w:val="24"/>
          <w:szCs w:val="24"/>
          <w:lang w:eastAsia="zh-TW"/>
        </w:rPr>
        <w:t>論書</w:t>
      </w:r>
      <w:r>
        <w:rPr>
          <w:rFonts w:eastAsia="MingLiU;細明體" w:cs="Times New Roman" w:ascii="Garamond" w:hAnsi="Garamond"/>
          <w:sz w:val="24"/>
          <w:szCs w:val="24"/>
          <w:lang w:eastAsia="zh-TW"/>
        </w:rPr>
        <w:t xml:space="preserve">; </w:t>
      </w:r>
      <w:r>
        <w:rPr>
          <w:rFonts w:eastAsia="MingLiU;細明體" w:cs="Times New Roman" w:ascii="Garamond" w:hAnsi="Garamond"/>
          <w:sz w:val="24"/>
          <w:szCs w:val="24"/>
        </w:rPr>
        <w:t>«Лунь шу») говорит: «В каллиграфии непременно должны быть дух-</w:t>
      </w:r>
      <w:r>
        <w:rPr>
          <w:rFonts w:eastAsia="MingLiU;細明體" w:cs="Times New Roman" w:ascii="Garamond" w:hAnsi="Garamond"/>
          <w:i/>
          <w:iCs/>
          <w:sz w:val="24"/>
          <w:szCs w:val="24"/>
        </w:rPr>
        <w:t>шэнь</w:t>
      </w:r>
      <w:r>
        <w:rPr>
          <w:rFonts w:eastAsia="MingLiU;細明體" w:cs="Times New Roman" w:ascii="Garamond" w:hAnsi="Garamond"/>
          <w:sz w:val="24"/>
          <w:szCs w:val="24"/>
        </w:rPr>
        <w:t>, энергия-</w:t>
      </w:r>
      <w:r>
        <w:rPr>
          <w:rFonts w:eastAsia="MingLiU;細明體" w:cs="Times New Roman" w:ascii="Garamond" w:hAnsi="Garamond"/>
          <w:i/>
          <w:iCs/>
          <w:sz w:val="24"/>
          <w:szCs w:val="24"/>
        </w:rPr>
        <w:t>ци</w:t>
      </w:r>
      <w:r>
        <w:rPr>
          <w:rFonts w:eastAsia="MingLiU;細明體" w:cs="Times New Roman" w:ascii="Garamond" w:hAnsi="Garamond"/>
          <w:sz w:val="24"/>
          <w:szCs w:val="24"/>
        </w:rPr>
        <w:t>, костяк-</w:t>
      </w:r>
      <w:r>
        <w:rPr>
          <w:rFonts w:eastAsia="MingLiU;細明體" w:cs="Times New Roman" w:ascii="Garamond" w:hAnsi="Garamond"/>
          <w:i/>
          <w:iCs/>
          <w:sz w:val="24"/>
          <w:szCs w:val="24"/>
        </w:rPr>
        <w:t>гу</w:t>
      </w:r>
      <w:r>
        <w:rPr>
          <w:rFonts w:eastAsia="MingLiU;細明體" w:cs="Times New Roman" w:ascii="Garamond" w:hAnsi="Garamond"/>
          <w:sz w:val="24"/>
          <w:szCs w:val="24"/>
        </w:rPr>
        <w:t>, мышцы-</w:t>
      </w:r>
      <w:r>
        <w:rPr>
          <w:rFonts w:eastAsia="MingLiU;細明體" w:cs="Times New Roman" w:ascii="Garamond" w:hAnsi="Garamond"/>
          <w:i/>
          <w:iCs/>
          <w:sz w:val="24"/>
          <w:szCs w:val="24"/>
        </w:rPr>
        <w:t>жоу</w:t>
      </w:r>
      <w:r>
        <w:rPr>
          <w:rFonts w:eastAsia="MingLiU;細明體" w:cs="Times New Roman" w:ascii="Garamond" w:hAnsi="Garamond"/>
          <w:sz w:val="24"/>
          <w:szCs w:val="24"/>
        </w:rPr>
        <w:t>, кровь-</w:t>
      </w:r>
      <w:r>
        <w:rPr>
          <w:rFonts w:eastAsia="MingLiU;細明體" w:cs="Times New Roman" w:ascii="Garamond" w:hAnsi="Garamond"/>
          <w:i/>
          <w:iCs/>
          <w:sz w:val="24"/>
          <w:szCs w:val="24"/>
        </w:rPr>
        <w:t>сюэ</w:t>
      </w:r>
      <w:r>
        <w:rPr>
          <w:rFonts w:eastAsia="MingLiU;細明體" w:cs="Times New Roman" w:ascii="Garamond" w:hAnsi="Garamond"/>
          <w:sz w:val="24"/>
          <w:szCs w:val="24"/>
        </w:rPr>
        <w:t> — все собраны воедино, — только это делает каллиграфию полноценной»</w:t>
      </w:r>
      <w:r>
        <w:rPr>
          <w:rStyle w:val="Style13"/>
          <w:rStyle w:val="Style19"/>
          <w:rFonts w:eastAsia="MingLiU;細明體" w:cs="Times New Roman" w:ascii="Garamond" w:hAnsi="Garamond"/>
          <w:sz w:val="24"/>
          <w:szCs w:val="24"/>
        </w:rPr>
        <w:footnoteReference w:id="8"/>
      </w:r>
      <w:r>
        <w:rPr>
          <w:rFonts w:eastAsia="MingLiU;細明體" w:cs="Times New Roman" w:ascii="Garamond" w:hAnsi="Garamond"/>
          <w:sz w:val="24"/>
          <w:szCs w:val="24"/>
        </w:rPr>
        <w:t>.</w:t>
      </w:r>
    </w:p>
    <w:p>
      <w:pPr>
        <w:pStyle w:val="Normal"/>
        <w:ind w:end="-31" w:firstLine="720"/>
        <w:jc w:val="both"/>
        <w:rPr/>
      </w:pPr>
      <w:r>
        <w:rPr>
          <w:rFonts w:eastAsia="MingLiU;細明體" w:cs="Garamond" w:ascii="Garamond" w:hAnsi="Garamond"/>
          <w:bCs/>
          <w:sz w:val="24"/>
          <w:szCs w:val="24"/>
        </w:rPr>
        <w:t xml:space="preserve">Без учета этого базового культурного различия и важности виртуозного владения кистью, европейские иезуиты, работавшие при пекинском дворе, были обречены восприниматься всего лишь как ремесленники, а не как истинные художниками в исконном китайском смысле этого слова. При этом уже У Ли понимал, что у христианства и традиционной конфуцианской системы мысли есть точки соприкосновения и в свойственной ему изящной и философичной манере выразил это в стихах: так, его </w:t>
      </w:r>
      <w:r>
        <w:rPr>
          <w:rFonts w:eastAsia="MingLiU;細明體" w:cs="Garamond" w:ascii="Garamond" w:hAnsi="Garamond"/>
          <w:sz w:val="24"/>
          <w:szCs w:val="24"/>
        </w:rPr>
        <w:t xml:space="preserve">стихотворение «Песнь о полусгоревшем </w:t>
      </w:r>
      <w:r>
        <w:rPr>
          <w:rFonts w:eastAsia="MingLiU;細明體" w:cs="Garamond" w:ascii="Garamond" w:hAnsi="Garamond"/>
          <w:i/>
          <w:iCs/>
          <w:sz w:val="24"/>
          <w:szCs w:val="24"/>
        </w:rPr>
        <w:t>цине</w:t>
      </w:r>
      <w:r>
        <w:rPr>
          <w:rFonts w:eastAsia="MingLiU;細明體" w:cs="Garamond" w:ascii="Garamond" w:hAnsi="Garamond"/>
          <w:sz w:val="24"/>
          <w:szCs w:val="24"/>
        </w:rPr>
        <w:t xml:space="preserve"> из дерева Тун» («Бань Тун Инь»; </w:t>
      </w:r>
      <w:r>
        <w:rPr>
          <w:rFonts w:ascii="Garamond" w:hAnsi="Garamond" w:eastAsia="MingLiU;細明體"/>
          <w:sz w:val="24"/>
          <w:szCs w:val="24"/>
        </w:rPr>
        <w:t>半桐吟</w:t>
      </w:r>
      <w:r>
        <w:rPr>
          <w:rFonts w:eastAsia="MingLiU;細明體" w:cs="Garamond" w:ascii="Garamond" w:hAnsi="Garamond"/>
          <w:sz w:val="24"/>
          <w:szCs w:val="24"/>
        </w:rPr>
        <w:t xml:space="preserve">) представляет собой размышления о китайском музыкальном инструменте </w:t>
      </w:r>
      <w:r>
        <w:rPr>
          <w:rFonts w:eastAsia="MingLiU;細明體" w:cs="Garamond" w:ascii="Garamond" w:hAnsi="Garamond"/>
          <w:i/>
          <w:iCs/>
          <w:sz w:val="24"/>
          <w:szCs w:val="24"/>
        </w:rPr>
        <w:t>цине</w:t>
      </w:r>
      <w:r>
        <w:rPr>
          <w:rFonts w:eastAsia="MingLiU;細明體" w:cs="Garamond" w:ascii="Garamond" w:hAnsi="Garamond"/>
          <w:sz w:val="24"/>
          <w:szCs w:val="24"/>
        </w:rPr>
        <w:t xml:space="preserve"> и христианстве (существуют даже предположения, что У Ли мог пытаться исполнять на цине европейскую музыку</w:t>
      </w:r>
      <w:r>
        <w:rPr>
          <w:rStyle w:val="Style13"/>
          <w:rStyle w:val="Style19"/>
          <w:rFonts w:eastAsia="MingLiU;細明體" w:cs="Garamond" w:ascii="Garamond" w:hAnsi="Garamond"/>
          <w:sz w:val="24"/>
          <w:szCs w:val="24"/>
        </w:rPr>
        <w:footnoteReference w:id="9"/>
      </w:r>
      <w:r>
        <w:rPr>
          <w:rFonts w:eastAsia="MingLiU;細明體" w:cs="Garamond" w:ascii="Garamond" w:hAnsi="Garamond"/>
          <w:sz w:val="24"/>
          <w:szCs w:val="24"/>
        </w:rPr>
        <w:t>.</w:t>
      </w:r>
      <w:r>
        <w:rPr>
          <w:rFonts w:eastAsia="MingLiU;細明體" w:cs="Garamond" w:ascii="Garamond" w:hAnsi="Garamond"/>
          <w:b/>
          <w:bCs/>
          <w:sz w:val="24"/>
          <w:szCs w:val="24"/>
        </w:rPr>
        <w:t xml:space="preserve"> </w:t>
      </w:r>
    </w:p>
    <w:p>
      <w:pPr>
        <w:pStyle w:val="Normal"/>
        <w:ind w:end="-31" w:firstLine="720"/>
        <w:jc w:val="both"/>
        <w:rPr>
          <w:rFonts w:ascii="Garamond" w:hAnsi="Garamond" w:eastAsia="MingLiU;細明體" w:cs="Garamond"/>
          <w:b/>
          <w:b/>
          <w:bCs/>
          <w:sz w:val="24"/>
          <w:szCs w:val="24"/>
        </w:rPr>
      </w:pPr>
      <w:r>
        <w:rPr>
          <w:rFonts w:eastAsia="MingLiU;細明體" w:cs="Garamond" w:ascii="Garamond" w:hAnsi="Garamond"/>
          <w:b/>
          <w:bCs/>
          <w:sz w:val="24"/>
          <w:szCs w:val="24"/>
        </w:rPr>
      </w:r>
    </w:p>
    <w:p>
      <w:pPr>
        <w:pStyle w:val="Normal"/>
        <w:ind w:end="-31" w:firstLine="720"/>
        <w:jc w:val="both"/>
        <w:rPr>
          <w:rFonts w:ascii="Garamond" w:hAnsi="Garamond" w:eastAsia="MingLiU;細明體" w:cs="Garamond"/>
          <w:sz w:val="24"/>
          <w:szCs w:val="24"/>
        </w:rPr>
      </w:pPr>
      <w:r>
        <w:rPr>
          <w:rFonts w:eastAsia="MingLiU;細明體" w:cs="Garamond" w:ascii="Garamond" w:hAnsi="Garamond"/>
          <w:b/>
          <w:bCs/>
          <w:sz w:val="24"/>
          <w:szCs w:val="24"/>
        </w:rPr>
        <w:t>Песнь о полусгоревшем цине из дерева Тун</w:t>
      </w:r>
      <w:r>
        <w:rPr>
          <w:rStyle w:val="Style13"/>
          <w:rStyle w:val="Style19"/>
          <w:rFonts w:eastAsia="MingLiU;細明體" w:cs="Garamond" w:ascii="Garamond" w:hAnsi="Garamond"/>
          <w:sz w:val="24"/>
          <w:szCs w:val="24"/>
        </w:rPr>
        <w:footnoteReference w:id="10"/>
      </w:r>
    </w:p>
    <w:p>
      <w:pPr>
        <w:pStyle w:val="Normal"/>
        <w:ind w:end="-31" w:firstLine="720"/>
        <w:jc w:val="both"/>
        <w:rPr/>
      </w:pPr>
      <w:r>
        <w:rPr>
          <w:rFonts w:ascii="Garamond" w:hAnsi="Garamond" w:eastAsia="MingLiU;細明體"/>
          <w:sz w:val="24"/>
          <w:szCs w:val="24"/>
        </w:rPr>
        <w:t>北窗有桐樹</w:t>
      </w:r>
      <w:r>
        <w:rPr>
          <w:rFonts w:ascii="Garamond" w:hAnsi="Garamond" w:cs="Garamond" w:eastAsia="Garamond"/>
          <w:sz w:val="24"/>
          <w:szCs w:val="24"/>
        </w:rPr>
        <w:t xml:space="preserve"> </w:t>
      </w:r>
      <w:r>
        <w:rPr>
          <w:rFonts w:eastAsia="MingLiU;細明體" w:cs="Garamond" w:ascii="Garamond" w:hAnsi="Garamond"/>
          <w:sz w:val="24"/>
          <w:szCs w:val="24"/>
        </w:rPr>
        <w:tab/>
        <w:t>За северным окном растет дерево Тун,</w:t>
      </w:r>
    </w:p>
    <w:p>
      <w:pPr>
        <w:pStyle w:val="Normal"/>
        <w:ind w:end="-31" w:firstLine="720"/>
        <w:jc w:val="both"/>
        <w:rPr/>
      </w:pPr>
      <w:r>
        <w:rPr>
          <w:rFonts w:ascii="Garamond" w:hAnsi="Garamond" w:eastAsia="MingLiU;細明體"/>
          <w:sz w:val="24"/>
          <w:szCs w:val="24"/>
        </w:rPr>
        <w:t>蠹朽將半空</w:t>
      </w:r>
      <w:r>
        <w:rPr>
          <w:rFonts w:ascii="Garamond" w:hAnsi="Garamond" w:cs="Garamond" w:eastAsia="Garamond"/>
          <w:sz w:val="24"/>
          <w:szCs w:val="24"/>
        </w:rPr>
        <w:t xml:space="preserve"> </w:t>
      </w:r>
      <w:r>
        <w:rPr>
          <w:rFonts w:eastAsia="MingLiU;細明體" w:cs="Garamond" w:ascii="Garamond" w:hAnsi="Garamond"/>
          <w:sz w:val="24"/>
          <w:szCs w:val="24"/>
        </w:rPr>
        <w:tab/>
        <w:t>Поеденное червями, полусгнившее.</w:t>
      </w:r>
    </w:p>
    <w:p>
      <w:pPr>
        <w:pStyle w:val="Normal"/>
        <w:ind w:end="-31" w:firstLine="720"/>
        <w:jc w:val="both"/>
        <w:rPr/>
      </w:pPr>
      <w:r>
        <w:rPr>
          <w:rFonts w:ascii="Garamond" w:hAnsi="Garamond" w:eastAsia="MingLiU;細明體"/>
          <w:sz w:val="24"/>
          <w:szCs w:val="24"/>
        </w:rPr>
        <w:t>未肯溝底腐</w:t>
      </w:r>
      <w:r>
        <w:rPr>
          <w:rFonts w:ascii="Garamond" w:hAnsi="Garamond" w:cs="Garamond" w:eastAsia="Garamond"/>
          <w:sz w:val="24"/>
          <w:szCs w:val="24"/>
        </w:rPr>
        <w:t xml:space="preserve"> </w:t>
      </w:r>
      <w:r>
        <w:rPr>
          <w:rFonts w:eastAsia="MingLiU;細明體" w:cs="Garamond" w:ascii="Garamond" w:hAnsi="Garamond"/>
          <w:sz w:val="24"/>
          <w:szCs w:val="24"/>
        </w:rPr>
        <w:tab/>
        <w:t>Что лучше  — умереть на дне обрыва</w:t>
      </w:r>
    </w:p>
    <w:p>
      <w:pPr>
        <w:pStyle w:val="Normal"/>
        <w:ind w:end="-31" w:firstLine="720"/>
        <w:jc w:val="both"/>
        <w:rPr/>
      </w:pPr>
      <w:r>
        <w:rPr>
          <w:rFonts w:ascii="Garamond" w:hAnsi="Garamond" w:eastAsia="MingLiU;細明體"/>
          <w:sz w:val="24"/>
          <w:szCs w:val="24"/>
        </w:rPr>
        <w:t>胡爲爨下供</w:t>
      </w:r>
      <w:r>
        <w:rPr>
          <w:rFonts w:ascii="Garamond" w:hAnsi="Garamond" w:cs="Garamond" w:eastAsia="Garamond"/>
          <w:sz w:val="24"/>
          <w:szCs w:val="24"/>
        </w:rPr>
        <w:t xml:space="preserve"> </w:t>
      </w:r>
      <w:r>
        <w:rPr>
          <w:rFonts w:eastAsia="MingLiU;細明體" w:cs="Garamond" w:ascii="Garamond" w:hAnsi="Garamond"/>
          <w:sz w:val="24"/>
          <w:szCs w:val="24"/>
        </w:rPr>
        <w:tab/>
        <w:t xml:space="preserve">Или в печи огненной сгореть, </w:t>
      </w:r>
    </w:p>
    <w:p>
      <w:pPr>
        <w:pStyle w:val="Normal"/>
        <w:ind w:end="-31" w:firstLine="720"/>
        <w:jc w:val="both"/>
        <w:rPr/>
      </w:pPr>
      <w:r>
        <w:rPr>
          <w:rFonts w:ascii="Garamond" w:hAnsi="Garamond" w:eastAsia="MingLiU;細明體"/>
          <w:sz w:val="24"/>
          <w:szCs w:val="24"/>
        </w:rPr>
        <w:t>遇斲名焦尾</w:t>
      </w:r>
      <w:r>
        <w:rPr>
          <w:rFonts w:ascii="Garamond" w:hAnsi="Garamond" w:cs="Garamond" w:eastAsia="Garamond"/>
          <w:sz w:val="24"/>
          <w:szCs w:val="24"/>
        </w:rPr>
        <w:t xml:space="preserve"> </w:t>
      </w:r>
      <w:r>
        <w:rPr>
          <w:rFonts w:eastAsia="MingLiU;細明體" w:cs="Garamond" w:ascii="Garamond" w:hAnsi="Garamond"/>
          <w:sz w:val="24"/>
          <w:szCs w:val="24"/>
        </w:rPr>
        <w:tab/>
        <w:t xml:space="preserve">Брошенным туда «Хвостом горелым» — </w:t>
      </w:r>
      <w:r>
        <w:rPr>
          <w:rFonts w:eastAsia="MingLiU;細明體" w:cs="Garamond" w:ascii="Garamond" w:hAnsi="Garamond"/>
          <w:i/>
          <w:iCs/>
          <w:sz w:val="24"/>
          <w:szCs w:val="24"/>
        </w:rPr>
        <w:t>цзяовэем</w:t>
      </w:r>
      <w:r>
        <w:rPr>
          <w:rStyle w:val="Style13"/>
          <w:rFonts w:eastAsia="MingLiU;細明體" w:cs="Garamond" w:ascii="Garamond" w:hAnsi="Garamond"/>
          <w:sz w:val="24"/>
          <w:szCs w:val="24"/>
        </w:rPr>
        <w:t xml:space="preserve"> </w:t>
      </w:r>
      <w:r>
        <w:rPr>
          <w:rStyle w:val="Style13"/>
          <w:rStyle w:val="Style19"/>
          <w:rFonts w:eastAsia="MingLiU;細明體" w:cs="Garamond" w:ascii="Garamond" w:hAnsi="Garamond"/>
          <w:sz w:val="24"/>
          <w:szCs w:val="24"/>
          <w:lang w:val="en-US"/>
        </w:rPr>
        <w:footnoteReference w:id="11"/>
      </w:r>
      <w:r>
        <w:rPr>
          <w:rFonts w:eastAsia="MingLiU;細明體" w:cs="Garamond" w:ascii="Garamond" w:hAnsi="Garamond"/>
          <w:sz w:val="24"/>
          <w:szCs w:val="24"/>
        </w:rPr>
        <w:t>?</w:t>
      </w:r>
    </w:p>
    <w:p>
      <w:pPr>
        <w:pStyle w:val="Normal"/>
        <w:ind w:end="-31" w:firstLine="720"/>
        <w:jc w:val="both"/>
        <w:rPr/>
      </w:pPr>
      <w:r>
        <w:rPr>
          <w:rFonts w:ascii="Garamond" w:hAnsi="Garamond" w:eastAsia="MingLiU;細明體"/>
          <w:sz w:val="24"/>
          <w:szCs w:val="24"/>
        </w:rPr>
        <w:t>直與太古通</w:t>
      </w:r>
      <w:r>
        <w:rPr>
          <w:rFonts w:ascii="Garamond" w:hAnsi="Garamond" w:cs="Garamond" w:eastAsia="Garamond"/>
          <w:sz w:val="24"/>
          <w:szCs w:val="24"/>
        </w:rPr>
        <w:t xml:space="preserve"> </w:t>
      </w:r>
      <w:r>
        <w:rPr>
          <w:rFonts w:eastAsia="MingLiU;細明體" w:cs="Garamond" w:ascii="Garamond" w:hAnsi="Garamond"/>
          <w:sz w:val="24"/>
          <w:szCs w:val="24"/>
        </w:rPr>
        <w:tab/>
        <w:t>Оно прямо общается с Всевышним</w:t>
      </w:r>
    </w:p>
    <w:p>
      <w:pPr>
        <w:pStyle w:val="Normal"/>
        <w:ind w:end="-31" w:firstLine="720"/>
        <w:jc w:val="both"/>
        <w:rPr/>
      </w:pPr>
      <w:r>
        <w:rPr>
          <w:rFonts w:ascii="Garamond" w:hAnsi="Garamond" w:eastAsia="MingLiU;細明體"/>
          <w:sz w:val="24"/>
          <w:szCs w:val="24"/>
        </w:rPr>
        <w:t>初含西玅響</w:t>
      </w:r>
      <w:r>
        <w:rPr>
          <w:rFonts w:ascii="Garamond" w:hAnsi="Garamond" w:cs="Garamond" w:eastAsia="Garamond"/>
          <w:sz w:val="24"/>
          <w:szCs w:val="24"/>
        </w:rPr>
        <w:t xml:space="preserve"> </w:t>
      </w:r>
      <w:r>
        <w:rPr>
          <w:rFonts w:eastAsia="MingLiU;細明體" w:cs="Garamond" w:ascii="Garamond" w:hAnsi="Garamond"/>
          <w:sz w:val="24"/>
          <w:szCs w:val="24"/>
        </w:rPr>
        <w:tab/>
        <w:t>Вслед за звуками Западных чудес,</w:t>
      </w:r>
    </w:p>
    <w:p>
      <w:pPr>
        <w:pStyle w:val="Normal"/>
        <w:ind w:end="-31" w:firstLine="720"/>
        <w:jc w:val="both"/>
        <w:rPr/>
      </w:pPr>
      <w:r>
        <w:rPr>
          <w:rFonts w:ascii="Garamond" w:hAnsi="Garamond" w:eastAsia="MingLiU;細明體"/>
          <w:sz w:val="24"/>
          <w:szCs w:val="24"/>
        </w:rPr>
        <w:t>再奏道徂東</w:t>
      </w:r>
      <w:r>
        <w:rPr>
          <w:rFonts w:ascii="Garamond" w:hAnsi="Garamond" w:cs="Garamond" w:eastAsia="Garamond"/>
          <w:sz w:val="24"/>
          <w:szCs w:val="24"/>
        </w:rPr>
        <w:t xml:space="preserve"> </w:t>
      </w:r>
      <w:r>
        <w:rPr>
          <w:rFonts w:eastAsia="MingLiU;細明體" w:cs="Garamond" w:ascii="Garamond" w:hAnsi="Garamond"/>
          <w:sz w:val="24"/>
          <w:szCs w:val="24"/>
        </w:rPr>
        <w:tab/>
        <w:t>Прозвучавшими вновь; Путь ведет на восток.</w:t>
      </w:r>
    </w:p>
    <w:p>
      <w:pPr>
        <w:pStyle w:val="Normal"/>
        <w:ind w:end="-31" w:firstLine="720"/>
        <w:jc w:val="both"/>
        <w:rPr/>
      </w:pPr>
      <w:r>
        <w:rPr>
          <w:rFonts w:ascii="Garamond" w:hAnsi="Garamond" w:eastAsia="MingLiU;細明體"/>
          <w:sz w:val="24"/>
          <w:szCs w:val="24"/>
        </w:rPr>
        <w:t>音聲一何正</w:t>
      </w:r>
      <w:r>
        <w:rPr>
          <w:rFonts w:ascii="Garamond" w:hAnsi="Garamond" w:cs="Garamond" w:eastAsia="Garamond"/>
          <w:sz w:val="24"/>
          <w:szCs w:val="24"/>
        </w:rPr>
        <w:t xml:space="preserve"> </w:t>
      </w:r>
      <w:r>
        <w:rPr>
          <w:rFonts w:eastAsia="MingLiU;細明體" w:cs="Garamond" w:ascii="Garamond" w:hAnsi="Garamond"/>
          <w:sz w:val="24"/>
          <w:szCs w:val="24"/>
        </w:rPr>
        <w:tab/>
        <w:t>О сколь классическую музыку оно творит,</w:t>
      </w:r>
    </w:p>
    <w:p>
      <w:pPr>
        <w:pStyle w:val="Normal"/>
        <w:ind w:end="-31" w:firstLine="720"/>
        <w:jc w:val="both"/>
        <w:rPr/>
      </w:pPr>
      <w:r>
        <w:rPr>
          <w:rFonts w:ascii="Garamond" w:hAnsi="Garamond" w:eastAsia="MingLiU;細明體"/>
          <w:sz w:val="24"/>
          <w:szCs w:val="24"/>
        </w:rPr>
        <w:t>雅化殊不窮</w:t>
      </w:r>
      <w:r>
        <w:rPr>
          <w:rFonts w:ascii="Garamond" w:hAnsi="Garamond" w:cs="Garamond" w:eastAsia="Garamond"/>
          <w:sz w:val="24"/>
          <w:szCs w:val="24"/>
        </w:rPr>
        <w:t xml:space="preserve"> </w:t>
      </w:r>
      <w:r>
        <w:rPr>
          <w:rFonts w:eastAsia="MingLiU;細明體" w:cs="Garamond" w:ascii="Garamond" w:hAnsi="Garamond"/>
          <w:sz w:val="24"/>
          <w:szCs w:val="24"/>
        </w:rPr>
        <w:tab/>
        <w:t>Бесконечно предаваясь изящным переменам!</w:t>
      </w:r>
    </w:p>
    <w:p>
      <w:pPr>
        <w:pStyle w:val="Normal"/>
        <w:ind w:end="-31" w:firstLine="720"/>
        <w:jc w:val="both"/>
        <w:rPr/>
      </w:pPr>
      <w:r>
        <w:rPr>
          <w:rFonts w:ascii="Garamond" w:hAnsi="Garamond" w:eastAsia="MingLiU;細明體"/>
          <w:sz w:val="24"/>
          <w:szCs w:val="24"/>
        </w:rPr>
        <w:t>奈何瓊臺下</w:t>
      </w:r>
      <w:r>
        <w:rPr>
          <w:rFonts w:ascii="Garamond" w:hAnsi="Garamond" w:cs="Garamond" w:eastAsia="Garamond"/>
          <w:sz w:val="24"/>
          <w:szCs w:val="24"/>
        </w:rPr>
        <w:t xml:space="preserve"> </w:t>
      </w:r>
      <w:r>
        <w:rPr>
          <w:rFonts w:eastAsia="MingLiU;細明體" w:cs="Garamond" w:ascii="Garamond" w:hAnsi="Garamond"/>
          <w:sz w:val="24"/>
          <w:szCs w:val="24"/>
        </w:rPr>
        <w:tab/>
        <w:t>Но ныне, увы, под изукрашенными террасами</w:t>
      </w:r>
    </w:p>
    <w:p>
      <w:pPr>
        <w:pStyle w:val="Normal"/>
        <w:ind w:end="-31" w:firstLine="720"/>
        <w:jc w:val="both"/>
        <w:rPr>
          <w:rFonts w:ascii="Garamond" w:hAnsi="Garamond" w:eastAsia="MingLiU;細明體" w:cs="Garamond"/>
          <w:sz w:val="24"/>
          <w:szCs w:val="24"/>
          <w:lang w:val="en-US"/>
        </w:rPr>
      </w:pPr>
      <w:r>
        <w:rPr>
          <w:rFonts w:ascii="MingLiU;細明體" w:hAnsi="MingLiU;細明體" w:cs="MingLiU_HKSCS-ExtB" w:eastAsia="MS Mincho;MS Gothic"/>
          <w:sz w:val="22"/>
          <w:szCs w:val="22"/>
        </w:rPr>
        <w:t>筝</w:t>
      </w:r>
      <w:r>
        <w:rPr>
          <w:rFonts w:ascii="Garamond" w:hAnsi="Garamond" w:eastAsia="MingLiU;細明體"/>
          <w:sz w:val="24"/>
          <w:szCs w:val="24"/>
        </w:rPr>
        <w:t>琶樂未終</w:t>
      </w:r>
      <w:r>
        <w:rPr>
          <w:rFonts w:ascii="Garamond" w:hAnsi="Garamond" w:cs="Garamond" w:eastAsia="Garamond"/>
          <w:sz w:val="24"/>
          <w:szCs w:val="24"/>
        </w:rPr>
        <w:t xml:space="preserve"> </w:t>
      </w:r>
      <w:r>
        <w:rPr>
          <w:rFonts w:eastAsia="MingLiU;細明體" w:cs="Garamond" w:ascii="Garamond" w:hAnsi="Garamond"/>
          <w:sz w:val="24"/>
          <w:szCs w:val="24"/>
        </w:rPr>
        <w:tab/>
      </w:r>
      <w:r>
        <w:rPr>
          <w:rFonts w:eastAsia="MingLiU;細明體" w:cs="Garamond" w:ascii="Garamond" w:hAnsi="Garamond"/>
          <w:i/>
          <w:iCs/>
          <w:sz w:val="24"/>
          <w:szCs w:val="24"/>
        </w:rPr>
        <w:t>Чжэн</w:t>
      </w:r>
      <w:r>
        <w:rPr>
          <w:rFonts w:eastAsia="MingLiU;細明體" w:cs="Garamond" w:ascii="Garamond" w:hAnsi="Garamond"/>
          <w:sz w:val="24"/>
          <w:szCs w:val="24"/>
        </w:rPr>
        <w:t xml:space="preserve"> и </w:t>
      </w:r>
      <w:r>
        <w:rPr>
          <w:rFonts w:eastAsia="MingLiU;細明體" w:cs="Garamond" w:ascii="Garamond" w:hAnsi="Garamond"/>
          <w:i/>
          <w:iCs/>
          <w:sz w:val="24"/>
          <w:szCs w:val="24"/>
        </w:rPr>
        <w:t>пипа</w:t>
      </w:r>
      <w:r>
        <w:rPr>
          <w:rStyle w:val="Style13"/>
          <w:rStyle w:val="Style19"/>
          <w:rFonts w:eastAsia="MingLiU;細明體" w:cs="Garamond" w:ascii="Garamond" w:hAnsi="Garamond"/>
          <w:sz w:val="24"/>
          <w:szCs w:val="24"/>
        </w:rPr>
        <w:footnoteReference w:id="12"/>
      </w:r>
      <w:r>
        <w:rPr>
          <w:rFonts w:eastAsia="MingLiU;細明體" w:cs="Garamond" w:ascii="Garamond" w:hAnsi="Garamond"/>
          <w:sz w:val="24"/>
          <w:szCs w:val="24"/>
        </w:rPr>
        <w:t xml:space="preserve"> звучат без конца!</w:t>
      </w:r>
    </w:p>
    <w:p>
      <w:pPr>
        <w:pStyle w:val="Normal"/>
        <w:ind w:end="-31" w:firstLine="720"/>
        <w:jc w:val="both"/>
        <w:rPr>
          <w:rFonts w:ascii="Garamond" w:hAnsi="Garamond" w:eastAsia="MingLiU;細明體" w:cs="Garamond"/>
          <w:sz w:val="8"/>
          <w:szCs w:val="8"/>
          <w:lang w:val="en-US"/>
        </w:rPr>
      </w:pPr>
      <w:r>
        <w:rPr>
          <w:rFonts w:eastAsia="MingLiU;細明體" w:cs="Garamond" w:ascii="Garamond" w:hAnsi="Garamond"/>
          <w:sz w:val="8"/>
          <w:szCs w:val="8"/>
          <w:lang w:val="en-US"/>
        </w:rPr>
      </w:r>
    </w:p>
    <w:tbl>
      <w:tblPr>
        <w:tblW w:w="8928" w:type="dxa"/>
        <w:jc w:val="start"/>
        <w:tblInd w:w="-108" w:type="dxa"/>
        <w:tblLayout w:type="fixed"/>
        <w:tblCellMar>
          <w:top w:w="0" w:type="dxa"/>
          <w:start w:w="108" w:type="dxa"/>
          <w:bottom w:w="0" w:type="dxa"/>
          <w:end w:w="108" w:type="dxa"/>
        </w:tblCellMar>
      </w:tblPr>
      <w:tblGrid>
        <w:gridCol w:w="4502"/>
        <w:gridCol w:w="4426"/>
      </w:tblGrid>
      <w:tr>
        <w:trPr/>
        <w:tc>
          <w:tcPr>
            <w:tcW w:w="4502" w:type="dxa"/>
            <w:tcBorders/>
          </w:tcPr>
          <w:p>
            <w:pPr>
              <w:pStyle w:val="Normal"/>
              <w:ind w:end="-31" w:hanging="0"/>
              <w:jc w:val="both"/>
              <w:rPr>
                <w:rFonts w:ascii="Garamond" w:hAnsi="Garamond" w:eastAsia="MingLiU;細明體" w:cs="Garamond"/>
                <w:sz w:val="22"/>
                <w:szCs w:val="22"/>
                <w:lang w:val="en-US" w:eastAsia="ru-RU"/>
              </w:rPr>
            </w:pPr>
            <w:r>
              <w:rPr>
                <w:rFonts w:eastAsia="MingLiU;細明體" w:cs="Garamond" w:ascii="Garamond" w:hAnsi="Garamond"/>
                <w:sz w:val="22"/>
                <w:szCs w:val="22"/>
                <w:lang w:val="ru-RU" w:eastAsia="ru-RU"/>
              </w:rPr>
              <w:drawing>
                <wp:inline distT="0" distB="0" distL="0" distR="0">
                  <wp:extent cx="2491740" cy="3729355"/>
                  <wp:effectExtent l="0" t="0" r="0" b="0"/>
                  <wp:docPr id="7" name="Изображение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4" descr="" title=""/>
                          <pic:cNvPicPr>
                            <a:picLocks noChangeAspect="1" noChangeArrowheads="1"/>
                          </pic:cNvPicPr>
                        </pic:nvPicPr>
                        <pic:blipFill>
                          <a:blip r:embed="rId6"/>
                          <a:srcRect l="-2" t="-2" r="-2" b="-2"/>
                          <a:stretch>
                            <a:fillRect/>
                          </a:stretch>
                        </pic:blipFill>
                        <pic:spPr bwMode="auto">
                          <a:xfrm>
                            <a:off x="0" y="0"/>
                            <a:ext cx="2491740" cy="3729355"/>
                          </a:xfrm>
                          <a:prstGeom prst="rect">
                            <a:avLst/>
                          </a:prstGeom>
                        </pic:spPr>
                      </pic:pic>
                    </a:graphicData>
                  </a:graphic>
                </wp:inline>
              </w:drawing>
            </w:r>
          </w:p>
          <w:p>
            <w:pPr>
              <w:pStyle w:val="Normal"/>
              <w:ind w:end="-31" w:hanging="0"/>
              <w:jc w:val="center"/>
              <w:rPr>
                <w:rFonts w:ascii="Garamond" w:hAnsi="Garamond" w:eastAsia="MingLiU;細明體" w:cs="Garamond"/>
                <w:sz w:val="22"/>
                <w:szCs w:val="22"/>
                <w:lang w:val="en-US"/>
              </w:rPr>
            </w:pPr>
            <w:r>
              <w:rPr>
                <w:rFonts w:eastAsia="MingLiU;細明體" w:cs="Garamond" w:ascii="Garamond" w:hAnsi="Garamond"/>
                <w:i/>
                <w:iCs/>
                <w:sz w:val="22"/>
                <w:szCs w:val="22"/>
              </w:rPr>
              <w:t>Илл. 4.</w:t>
            </w:r>
            <w:r>
              <w:rPr>
                <w:rFonts w:eastAsia="MingLiU;細明體" w:cs="Garamond" w:ascii="Garamond" w:hAnsi="Garamond"/>
                <w:sz w:val="22"/>
                <w:szCs w:val="22"/>
              </w:rPr>
              <w:t xml:space="preserve"> У Ли. </w:t>
            </w:r>
            <w:r>
              <w:rPr>
                <w:rFonts w:eastAsia="MingLiU;細明體" w:cs="Garamond" w:ascii="Garamond" w:hAnsi="Garamond"/>
                <w:bCs/>
                <w:sz w:val="22"/>
                <w:szCs w:val="22"/>
              </w:rPr>
              <w:t xml:space="preserve">Лодочная прогулка на реке под буддийским храмом </w:t>
            </w:r>
            <w:r>
              <w:rPr>
                <w:rFonts w:eastAsia="MingLiU;細明體" w:cs="Garamond" w:ascii="Garamond" w:hAnsi="Garamond"/>
                <w:sz w:val="22"/>
                <w:szCs w:val="22"/>
              </w:rPr>
              <w:t>(</w:t>
            </w:r>
            <w:r>
              <w:rPr>
                <w:rFonts w:ascii="Garamond" w:hAnsi="Garamond" w:eastAsia="MingLiU;細明體"/>
                <w:sz w:val="22"/>
                <w:szCs w:val="22"/>
                <w:shd w:fill="FFFFFF" w:val="clear"/>
              </w:rPr>
              <w:t>仿關仝山水</w:t>
            </w:r>
            <w:r>
              <w:rPr>
                <w:rFonts w:eastAsia="MingLiU;細明體" w:cs="Garamond" w:ascii="Garamond" w:hAnsi="Garamond"/>
                <w:sz w:val="22"/>
                <w:szCs w:val="22"/>
              </w:rPr>
              <w:t>).</w:t>
            </w:r>
            <w:r>
              <w:rPr>
                <w:rStyle w:val="Appleconvertedspace"/>
                <w:rFonts w:eastAsia="MingLiU;細明體" w:cs="Garamond" w:ascii="Garamond" w:hAnsi="Garamond"/>
                <w:sz w:val="22"/>
                <w:szCs w:val="22"/>
              </w:rPr>
              <w:t xml:space="preserve"> Вертикальный свиток. </w:t>
            </w:r>
            <w:r>
              <w:rPr>
                <w:rFonts w:eastAsia="MingLiU;細明體" w:cs="Garamond" w:ascii="Garamond" w:hAnsi="Garamond"/>
                <w:sz w:val="22"/>
                <w:szCs w:val="22"/>
              </w:rPr>
              <w:t xml:space="preserve">Между 1660 и 1710 гг. </w:t>
            </w:r>
            <w:r>
              <w:rPr>
                <w:rStyle w:val="Appleconvertedspace"/>
                <w:rFonts w:eastAsia="MingLiU;細明體" w:cs="Garamond" w:ascii="Garamond" w:hAnsi="Garamond"/>
                <w:sz w:val="22"/>
                <w:szCs w:val="22"/>
              </w:rPr>
              <w:t>Бумага, тушь.</w:t>
            </w:r>
            <w:r>
              <w:rPr>
                <w:rFonts w:eastAsia="MingLiU;細明體" w:cs="Garamond" w:ascii="Garamond" w:hAnsi="Garamond"/>
                <w:sz w:val="22"/>
                <w:szCs w:val="22"/>
              </w:rPr>
              <w:t xml:space="preserve"> 39,7 × 268 см </w:t>
            </w:r>
          </w:p>
          <w:p>
            <w:pPr>
              <w:pStyle w:val="Normal"/>
              <w:ind w:end="-31" w:hanging="0"/>
              <w:jc w:val="center"/>
              <w:rPr>
                <w:rStyle w:val="Appleconvertedspace"/>
                <w:rFonts w:ascii="Garamond" w:hAnsi="Garamond" w:eastAsia="MingLiU;細明體" w:cs="Garamond"/>
                <w:sz w:val="22"/>
                <w:szCs w:val="22"/>
                <w:lang w:val="en-US"/>
              </w:rPr>
            </w:pPr>
            <w:r>
              <w:rPr>
                <w:rFonts w:eastAsia="MingLiU;細明體" w:cs="Garamond" w:ascii="Garamond" w:hAnsi="Garamond"/>
                <w:sz w:val="22"/>
                <w:szCs w:val="22"/>
                <w:lang w:val="en-US"/>
              </w:rPr>
              <w:t>© </w:t>
            </w:r>
            <w:r>
              <w:rPr>
                <w:rFonts w:eastAsia="MingLiU;細明體" w:cs="Garamond" w:ascii="Garamond" w:hAnsi="Garamond"/>
                <w:sz w:val="22"/>
                <w:szCs w:val="22"/>
              </w:rPr>
              <w:t>Национальный</w:t>
            </w:r>
            <w:r>
              <w:rPr>
                <w:rFonts w:eastAsia="MingLiU;細明體" w:cs="Garamond" w:ascii="Garamond" w:hAnsi="Garamond"/>
                <w:sz w:val="22"/>
                <w:szCs w:val="22"/>
                <w:lang w:val="en-US"/>
              </w:rPr>
              <w:t xml:space="preserve"> </w:t>
            </w:r>
            <w:r>
              <w:rPr>
                <w:rFonts w:eastAsia="MingLiU;細明體" w:cs="Garamond" w:ascii="Garamond" w:hAnsi="Garamond"/>
                <w:sz w:val="22"/>
                <w:szCs w:val="22"/>
              </w:rPr>
              <w:t>музей</w:t>
            </w:r>
            <w:r>
              <w:rPr>
                <w:rFonts w:eastAsia="MingLiU;細明體" w:cs="Garamond" w:ascii="Garamond" w:hAnsi="Garamond"/>
                <w:sz w:val="22"/>
                <w:szCs w:val="22"/>
                <w:lang w:val="en-US"/>
              </w:rPr>
              <w:t xml:space="preserve"> </w:t>
            </w:r>
            <w:r>
              <w:rPr>
                <w:rFonts w:eastAsia="MingLiU;細明體" w:cs="Garamond" w:ascii="Garamond" w:hAnsi="Garamond"/>
                <w:sz w:val="22"/>
                <w:szCs w:val="22"/>
              </w:rPr>
              <w:t>дворца</w:t>
            </w:r>
            <w:r>
              <w:rPr>
                <w:rFonts w:eastAsia="MingLiU;細明體" w:cs="Garamond" w:ascii="Garamond" w:hAnsi="Garamond"/>
                <w:sz w:val="22"/>
                <w:szCs w:val="22"/>
                <w:lang w:val="en-US"/>
              </w:rPr>
              <w:t xml:space="preserve"> </w:t>
            </w:r>
            <w:r>
              <w:rPr>
                <w:rFonts w:eastAsia="MingLiU;細明體" w:cs="Garamond" w:ascii="Garamond" w:hAnsi="Garamond"/>
                <w:sz w:val="22"/>
                <w:szCs w:val="22"/>
              </w:rPr>
              <w:t>Гугун</w:t>
            </w:r>
            <w:r>
              <w:rPr>
                <w:rFonts w:eastAsia="MingLiU;細明體" w:cs="Garamond" w:ascii="Garamond" w:hAnsi="Garamond"/>
                <w:sz w:val="22"/>
                <w:szCs w:val="22"/>
                <w:lang w:val="en-US"/>
              </w:rPr>
              <w:t xml:space="preserve">, </w:t>
            </w:r>
            <w:r>
              <w:rPr>
                <w:rFonts w:eastAsia="MingLiU;細明體" w:cs="Garamond" w:ascii="Garamond" w:hAnsi="Garamond"/>
                <w:sz w:val="22"/>
                <w:szCs w:val="22"/>
              </w:rPr>
              <w:t>Тайбэй</w:t>
            </w:r>
            <w:r>
              <w:rPr>
                <w:rFonts w:eastAsia="MingLiU;細明體" w:cs="Garamond" w:ascii="Garamond" w:hAnsi="Garamond"/>
                <w:sz w:val="22"/>
                <w:szCs w:val="22"/>
                <w:lang w:val="en-US"/>
              </w:rPr>
              <w:t xml:space="preserve"> (</w:t>
            </w:r>
            <w:r>
              <w:rPr>
                <w:rFonts w:eastAsia="MingLiU;細明體" w:cs="Garamond" w:ascii="Garamond" w:hAnsi="Garamond"/>
                <w:sz w:val="22"/>
                <w:szCs w:val="22"/>
              </w:rPr>
              <w:t>п</w:t>
            </w:r>
            <w:r>
              <w:rPr>
                <w:rStyle w:val="Appleconvertedspace"/>
                <w:rFonts w:eastAsia="MingLiU;細明體" w:cs="Garamond" w:ascii="Garamond" w:hAnsi="Garamond"/>
                <w:sz w:val="22"/>
                <w:szCs w:val="22"/>
              </w:rPr>
              <w:t>о</w:t>
            </w:r>
            <w:r>
              <w:rPr>
                <w:rStyle w:val="Appleconvertedspace"/>
                <w:rFonts w:eastAsia="MingLiU;細明體" w:cs="Garamond" w:ascii="Garamond" w:hAnsi="Garamond"/>
                <w:sz w:val="22"/>
                <w:szCs w:val="22"/>
                <w:lang w:val="en-US"/>
              </w:rPr>
              <w:t>: URL: https://upload.wikimedia.org/ wikipedia/commons/1/19/Wu_Li_001.jpg</w:t>
            </w:r>
          </w:p>
          <w:p>
            <w:pPr>
              <w:pStyle w:val="Normal"/>
              <w:ind w:end="-31" w:hanging="0"/>
              <w:jc w:val="center"/>
              <w:rPr>
                <w:rFonts w:ascii="Garamond" w:hAnsi="Garamond" w:eastAsia="MingLiU;細明體" w:cs="Garamond"/>
                <w:bCs/>
                <w:sz w:val="22"/>
                <w:szCs w:val="22"/>
              </w:rPr>
            </w:pPr>
            <w:r>
              <w:rPr>
                <w:rStyle w:val="Appleconvertedspace"/>
                <w:rFonts w:eastAsia="MingLiU;細明體" w:cs="Garamond" w:ascii="Garamond" w:hAnsi="Garamond"/>
                <w:sz w:val="22"/>
                <w:szCs w:val="22"/>
              </w:rPr>
              <w:t>(</w:t>
            </w:r>
            <w:r>
              <w:rPr>
                <w:rFonts w:eastAsia="MingLiU;細明體" w:cs="Garamond" w:ascii="Garamond" w:hAnsi="Garamond"/>
                <w:sz w:val="22"/>
                <w:szCs w:val="22"/>
                <w:shd w:fill="FFFFFF" w:val="clear"/>
              </w:rPr>
              <w:t>дата обращения 05.11.2020))</w:t>
            </w:r>
          </w:p>
        </w:tc>
        <w:tc>
          <w:tcPr>
            <w:tcW w:w="4426" w:type="dxa"/>
            <w:tcBorders/>
          </w:tcPr>
          <w:p>
            <w:pPr>
              <w:pStyle w:val="Normal"/>
              <w:ind w:end="-31" w:hanging="0"/>
              <w:jc w:val="end"/>
              <w:rPr>
                <w:rFonts w:ascii="Garamond" w:hAnsi="Garamond" w:eastAsia="MingLiU;細明體" w:cs="Garamond"/>
                <w:sz w:val="22"/>
                <w:szCs w:val="22"/>
                <w:shd w:fill="FFFFFF" w:val="clear"/>
                <w:lang w:val="en-US" w:eastAsia="ru-RU"/>
              </w:rPr>
            </w:pPr>
            <w:r>
              <w:rPr>
                <w:rFonts w:eastAsia="MingLiU;細明體" w:cs="Garamond" w:ascii="Garamond" w:hAnsi="Garamond"/>
                <w:sz w:val="22"/>
                <w:szCs w:val="22"/>
                <w:shd w:fill="FFFFFF" w:val="clear"/>
                <w:lang w:val="ru-RU" w:eastAsia="ru-RU"/>
              </w:rPr>
              <w:drawing>
                <wp:inline distT="0" distB="0" distL="0" distR="0">
                  <wp:extent cx="2309495" cy="3726180"/>
                  <wp:effectExtent l="0" t="0" r="0" b="0"/>
                  <wp:docPr id="8" name="Изображение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5" descr="" title=""/>
                          <pic:cNvPicPr>
                            <a:picLocks noChangeAspect="1" noChangeArrowheads="1"/>
                          </pic:cNvPicPr>
                        </pic:nvPicPr>
                        <pic:blipFill>
                          <a:blip r:embed="rId7"/>
                          <a:srcRect l="-2" t="-2" r="-2" b="-2"/>
                          <a:stretch>
                            <a:fillRect/>
                          </a:stretch>
                        </pic:blipFill>
                        <pic:spPr bwMode="auto">
                          <a:xfrm>
                            <a:off x="0" y="0"/>
                            <a:ext cx="2309495" cy="3726180"/>
                          </a:xfrm>
                          <a:prstGeom prst="rect">
                            <a:avLst/>
                          </a:prstGeom>
                        </pic:spPr>
                      </pic:pic>
                    </a:graphicData>
                  </a:graphic>
                </wp:inline>
              </w:drawing>
            </w:r>
          </w:p>
          <w:p>
            <w:pPr>
              <w:pStyle w:val="Normal"/>
              <w:ind w:end="-31" w:hanging="0"/>
              <w:jc w:val="center"/>
              <w:rPr/>
            </w:pPr>
            <w:r>
              <w:rPr>
                <w:rFonts w:eastAsia="MingLiU;細明體" w:cs="Garamond" w:ascii="Garamond" w:hAnsi="Garamond"/>
                <w:i/>
                <w:iCs/>
                <w:sz w:val="22"/>
                <w:szCs w:val="22"/>
                <w:shd w:fill="FFFFFF" w:val="clear"/>
              </w:rPr>
              <w:t>Илл. 5.</w:t>
            </w:r>
            <w:r>
              <w:rPr>
                <w:rFonts w:eastAsia="MingLiU;細明體" w:cs="Garamond" w:ascii="Garamond" w:hAnsi="Garamond"/>
                <w:sz w:val="22"/>
                <w:szCs w:val="22"/>
                <w:shd w:fill="FFFFFF" w:val="clear"/>
              </w:rPr>
              <w:t xml:space="preserve"> Джузеппе Кастильоне. </w:t>
            </w:r>
            <w:r>
              <w:rPr>
                <w:rFonts w:eastAsia="MingLiU;細明體" w:cs="Garamond" w:ascii="Garamond" w:hAnsi="Garamond"/>
                <w:sz w:val="22"/>
                <w:szCs w:val="22"/>
              </w:rPr>
              <w:t xml:space="preserve">Пейзаж </w:t>
            </w:r>
            <w:r>
              <w:rPr>
                <w:rFonts w:eastAsia="MingLiU;細明體" w:cs="Garamond" w:ascii="Garamond" w:hAnsi="Garamond"/>
                <w:sz w:val="22"/>
                <w:szCs w:val="22"/>
                <w:lang w:val="en-US"/>
              </w:rPr>
              <w:t xml:space="preserve">                    </w:t>
            </w:r>
            <w:r>
              <w:rPr>
                <w:rFonts w:eastAsia="MingLiU;細明體" w:cs="Garamond" w:ascii="Garamond" w:hAnsi="Garamond"/>
                <w:sz w:val="22"/>
                <w:szCs w:val="22"/>
              </w:rPr>
              <w:t>(</w:t>
            </w:r>
            <w:r>
              <w:rPr>
                <w:rFonts w:ascii="Garamond" w:hAnsi="Garamond" w:eastAsia="MingLiU;細明體"/>
                <w:sz w:val="22"/>
                <w:szCs w:val="22"/>
              </w:rPr>
              <w:t>畫山水</w:t>
            </w:r>
            <w:r>
              <w:rPr>
                <w:rFonts w:eastAsia="MingLiU;細明體" w:cs="Garamond" w:ascii="Garamond" w:hAnsi="Garamond"/>
                <w:sz w:val="22"/>
                <w:szCs w:val="22"/>
              </w:rPr>
              <w:t>)</w:t>
            </w:r>
            <w:r>
              <w:rPr>
                <w:rFonts w:eastAsia="MingLiU;細明體" w:cs="Garamond" w:ascii="Garamond" w:hAnsi="Garamond"/>
                <w:sz w:val="22"/>
                <w:szCs w:val="22"/>
                <w:shd w:fill="FFFFFF" w:val="clear"/>
              </w:rPr>
              <w:t xml:space="preserve">. </w:t>
            </w:r>
            <w:r>
              <w:rPr>
                <w:rFonts w:eastAsia="MingLiU;細明體" w:cs="Garamond" w:ascii="Garamond" w:hAnsi="Garamond"/>
                <w:sz w:val="22"/>
                <w:szCs w:val="22"/>
              </w:rPr>
              <w:t>Вертикальный свиток, тушь и водорастворимые краски на шелке. 143,2 x 89,1 см © Национальный музей дворца Гугун, Тайбэй. Этот свиток — дань Кастильоне «живописи художников-литераторов», которой Лан Шинин обучился у придворного художника Тан Дая (1673 </w:t>
            </w:r>
            <w:r>
              <w:rPr>
                <w:rFonts w:eastAsia="MingLiU;細明體" w:cs="Garamond" w:ascii="Garamond" w:hAnsi="Garamond"/>
                <w:bCs/>
                <w:sz w:val="22"/>
                <w:szCs w:val="22"/>
              </w:rPr>
              <w:t>–</w:t>
            </w:r>
            <w:r>
              <w:rPr>
                <w:rFonts w:eastAsia="MingLiU;細明體" w:cs="Garamond" w:ascii="Garamond" w:hAnsi="Garamond"/>
                <w:sz w:val="22"/>
                <w:szCs w:val="22"/>
              </w:rPr>
              <w:t xml:space="preserve"> после 1752), в свою очередь учившегося у мастера традиционной живописи</w:t>
            </w:r>
          </w:p>
          <w:p>
            <w:pPr>
              <w:pStyle w:val="Normal"/>
              <w:ind w:end="-31" w:hanging="0"/>
              <w:jc w:val="center"/>
              <w:rPr>
                <w:rFonts w:ascii="Garamond" w:hAnsi="Garamond" w:eastAsia="MingLiU;細明體" w:cs="Garamond"/>
                <w:bCs/>
                <w:sz w:val="22"/>
                <w:szCs w:val="22"/>
              </w:rPr>
            </w:pPr>
            <w:r>
              <w:rPr>
                <w:rFonts w:eastAsia="MingLiU;細明體" w:cs="Garamond" w:ascii="Garamond" w:hAnsi="Garamond"/>
                <w:sz w:val="22"/>
                <w:szCs w:val="22"/>
              </w:rPr>
              <w:t>Ван Юаньци (1642</w:t>
            </w:r>
            <w:r>
              <w:rPr>
                <w:rFonts w:eastAsia="MingLiU;細明體" w:cs="Garamond" w:ascii="Garamond" w:hAnsi="Garamond"/>
                <w:bCs/>
                <w:sz w:val="22"/>
                <w:szCs w:val="22"/>
              </w:rPr>
              <w:t>–</w:t>
            </w:r>
            <w:r>
              <w:rPr>
                <w:rFonts w:eastAsia="MingLiU;細明體" w:cs="Garamond" w:ascii="Garamond" w:hAnsi="Garamond"/>
                <w:sz w:val="22"/>
                <w:szCs w:val="22"/>
              </w:rPr>
              <w:t>1715)</w:t>
            </w:r>
          </w:p>
        </w:tc>
      </w:tr>
    </w:tbl>
    <w:p>
      <w:pPr>
        <w:pStyle w:val="Normal"/>
        <w:ind w:end="-31" w:firstLine="720"/>
        <w:jc w:val="both"/>
        <w:rPr/>
      </w:pPr>
      <w:r>
        <w:rPr>
          <w:rFonts w:eastAsia="MingLiU;細明體" w:cs="Garamond" w:ascii="Garamond" w:hAnsi="Garamond"/>
          <w:bCs/>
          <w:sz w:val="24"/>
          <w:szCs w:val="24"/>
        </w:rPr>
        <w:t>Китайская история искусств считает У</w:t>
      </w:r>
      <w:r>
        <w:rPr>
          <w:rFonts w:eastAsia="MingLiU;細明體" w:cs="Garamond" w:ascii="Garamond" w:hAnsi="Garamond"/>
          <w:bCs/>
          <w:sz w:val="24"/>
          <w:szCs w:val="24"/>
          <w:lang w:val="en-US"/>
        </w:rPr>
        <w:t> </w:t>
      </w:r>
      <w:r>
        <w:rPr>
          <w:rFonts w:eastAsia="MingLiU;細明體" w:cs="Garamond" w:ascii="Garamond" w:hAnsi="Garamond"/>
          <w:bCs/>
          <w:sz w:val="24"/>
          <w:szCs w:val="24"/>
        </w:rPr>
        <w:t>Ли настоящим мастером, хотя он никогда даже и не мечтал о посте придворного художника и умер скромным сельским священником в 1718 г., через несколько лет после того как в Срединную империю прибыл его собрат по ордену — двадцатисемилетний Джузеппе Кастильоне. С прибытием молодого «перспективиста», готового работать при дворе так, как от него требовали венценосные заказчики, началась совершенно новая эра. Разногласия Маттео Риччи и У Ли были забыты: наступило время для применения идей культурной ассимиляции на практике, эра деликатного смешения и совмещения техник и художественных принципов. Но и Кастильоне порой выходил из тенет «оксиденталистской» тематики [</w:t>
      </w:r>
      <w:r>
        <w:rPr>
          <w:rFonts w:eastAsia="MingLiU;細明體" w:cs="Garamond" w:ascii="Garamond" w:hAnsi="Garamond"/>
          <w:spacing w:val="-5"/>
          <w:sz w:val="24"/>
          <w:szCs w:val="24"/>
          <w:lang w:val="en-US"/>
        </w:rPr>
        <w:t>Dubrovskaya</w:t>
      </w:r>
      <w:r>
        <w:rPr>
          <w:rFonts w:eastAsia="MingLiU;細明體" w:cs="Garamond" w:ascii="Garamond" w:hAnsi="Garamond"/>
          <w:bCs/>
          <w:sz w:val="24"/>
          <w:szCs w:val="24"/>
        </w:rPr>
        <w:t>, 2019] и с упоением писал чисто китайские пейзажи (</w:t>
      </w:r>
      <w:r>
        <w:rPr>
          <w:rFonts w:eastAsia="MingLiU;細明體" w:cs="Garamond" w:ascii="Garamond" w:hAnsi="Garamond"/>
          <w:bCs/>
          <w:i/>
          <w:iCs/>
          <w:sz w:val="24"/>
          <w:szCs w:val="24"/>
        </w:rPr>
        <w:t>илл. 5</w:t>
      </w:r>
      <w:r>
        <w:rPr>
          <w:rFonts w:eastAsia="MingLiU;細明體" w:cs="Garamond" w:ascii="Garamond" w:hAnsi="Garamond"/>
          <w:bCs/>
          <w:sz w:val="24"/>
          <w:szCs w:val="24"/>
        </w:rPr>
        <w:t>).</w:t>
      </w:r>
    </w:p>
    <w:p>
      <w:pPr>
        <w:pStyle w:val="Normal"/>
        <w:ind w:end="-31" w:firstLine="720"/>
        <w:jc w:val="both"/>
        <w:rPr/>
      </w:pPr>
      <w:r>
        <w:rPr>
          <w:rFonts w:eastAsia="MingLiU;細明體" w:cs="Garamond" w:ascii="Garamond" w:hAnsi="Garamond"/>
          <w:bCs/>
          <w:sz w:val="24"/>
          <w:szCs w:val="24"/>
        </w:rPr>
        <w:t>Именно Маттео Риччи был тем человеком, который преподнес императору Ваньли две картины с изображением Девы Марии, таким образом, положив начало физическому присутствию произведений европейской живописи при императорском дворе. Как известно, основатель миссии так и не получил личной аудиенции императора, и все дары передавались последнему через посредников — евнухов и сановников. Однако хорошо известна и реакция императора на образ Мадонны: Ваньли сказал, что не желает лицезреть на картине лицо с пятнами, словно вызванными кожной болезнью, и Мадонну убрали [</w:t>
      </w:r>
      <w:r>
        <w:rPr>
          <w:rFonts w:eastAsia="MingLiU;細明體" w:cs="Garamond" w:ascii="Garamond" w:hAnsi="Garamond"/>
          <w:iCs/>
          <w:sz w:val="24"/>
          <w:szCs w:val="24"/>
        </w:rPr>
        <w:t>Дубровская</w:t>
      </w:r>
      <w:r>
        <w:rPr>
          <w:rFonts w:eastAsia="MingLiU;細明體" w:cs="Garamond" w:ascii="Garamond" w:hAnsi="Garamond"/>
          <w:sz w:val="24"/>
          <w:szCs w:val="24"/>
        </w:rPr>
        <w:t xml:space="preserve">, 2001, </w:t>
      </w:r>
      <w:r>
        <w:rPr>
          <w:rFonts w:eastAsia="MingLiU;細明體" w:cs="Garamond" w:ascii="Garamond" w:hAnsi="Garamond"/>
          <w:sz w:val="24"/>
          <w:szCs w:val="24"/>
          <w:lang w:val="en-US"/>
        </w:rPr>
        <w:t>c</w:t>
      </w:r>
      <w:r>
        <w:rPr>
          <w:rFonts w:eastAsia="MingLiU;細明體" w:cs="Garamond" w:ascii="Garamond" w:hAnsi="Garamond"/>
          <w:sz w:val="24"/>
          <w:szCs w:val="24"/>
        </w:rPr>
        <w:t>. 98; 2018б</w:t>
      </w:r>
      <w:r>
        <w:rPr>
          <w:rFonts w:eastAsia="MingLiU;細明體" w:cs="Garamond" w:ascii="Garamond" w:hAnsi="Garamond"/>
          <w:bCs/>
          <w:sz w:val="24"/>
          <w:szCs w:val="24"/>
        </w:rPr>
        <w:t>]. Под пятнами подразумевались тени — радикальное отличие западной светотеневой моделировки от китайской портретной традиции изображения людей, подразумевавшей использование ровного повсеместного света.</w:t>
      </w:r>
    </w:p>
    <w:p>
      <w:pPr>
        <w:pStyle w:val="Normal"/>
        <w:ind w:end="-31" w:firstLine="720"/>
        <w:jc w:val="both"/>
        <w:rPr/>
      </w:pPr>
      <w:r>
        <w:rPr>
          <w:rFonts w:eastAsia="MingLiU;細明體" w:cs="Garamond" w:ascii="Garamond" w:hAnsi="Garamond"/>
          <w:bCs/>
          <w:sz w:val="24"/>
          <w:szCs w:val="24"/>
        </w:rPr>
        <w:t xml:space="preserve">Непримиримые (хотя и мирные) противоречия между У Ли и Маттео Риччи благополучно примирились уже в годы служения Джузеппе Кастильоне и его коллег трем великим императорам времен Золотого века Цинской династии. Для этого понадобились просвещенные деспоты, принадлежавшие к набравшейся культуры и мудрости захватнической династии, и художники конца </w:t>
      </w:r>
      <w:r>
        <w:rPr>
          <w:rFonts w:eastAsia="MingLiU;細明體" w:cs="Garamond" w:ascii="Garamond" w:hAnsi="Garamond"/>
          <w:bCs/>
          <w:sz w:val="24"/>
          <w:szCs w:val="24"/>
          <w:lang w:val="en-US"/>
        </w:rPr>
        <w:t>XVII</w:t>
      </w:r>
      <w:r>
        <w:rPr>
          <w:rFonts w:eastAsia="MingLiU;細明體" w:cs="Garamond" w:ascii="Garamond" w:hAnsi="Garamond"/>
          <w:bCs/>
          <w:sz w:val="24"/>
          <w:szCs w:val="24"/>
        </w:rPr>
        <w:t>–</w:t>
      </w:r>
      <w:r>
        <w:rPr>
          <w:rFonts w:eastAsia="MingLiU;細明體" w:cs="Garamond" w:ascii="Garamond" w:hAnsi="Garamond"/>
          <w:bCs/>
          <w:sz w:val="24"/>
          <w:szCs w:val="24"/>
          <w:lang w:val="en-US"/>
        </w:rPr>
        <w:t>XVIII </w:t>
      </w:r>
      <w:r>
        <w:rPr>
          <w:rFonts w:eastAsia="MingLiU;細明體" w:cs="Garamond" w:ascii="Garamond" w:hAnsi="Garamond"/>
          <w:bCs/>
          <w:sz w:val="24"/>
          <w:szCs w:val="24"/>
        </w:rPr>
        <w:t>вв., пересказавшие гениальные теоретические наработки Маттео Риччи и ордена иезуитов языком сино-европейской живописи.</w:t>
      </w:r>
    </w:p>
    <w:p>
      <w:pPr>
        <w:pStyle w:val="Normal"/>
        <w:ind w:end="-31" w:firstLine="720"/>
        <w:jc w:val="both"/>
        <w:rPr>
          <w:rFonts w:ascii="Garamond" w:hAnsi="Garamond" w:eastAsia="MingLiU;細明體" w:cs="Garamond"/>
          <w:bCs/>
          <w:sz w:val="24"/>
          <w:szCs w:val="24"/>
        </w:rPr>
      </w:pPr>
      <w:r>
        <w:rPr>
          <w:rFonts w:eastAsia="MingLiU;細明體" w:cs="Garamond" w:ascii="Garamond" w:hAnsi="Garamond"/>
          <w:bCs/>
          <w:sz w:val="24"/>
          <w:szCs w:val="24"/>
        </w:rPr>
      </w:r>
    </w:p>
    <w:p>
      <w:pPr>
        <w:pStyle w:val="Normal"/>
        <w:tabs>
          <w:tab w:val="clear" w:pos="709"/>
          <w:tab w:val="left" w:pos="1440" w:leader="none"/>
        </w:tabs>
        <w:ind w:start="720" w:hanging="720"/>
        <w:jc w:val="center"/>
        <w:rPr>
          <w:rFonts w:ascii="Garamond" w:hAnsi="Garamond" w:eastAsia="MingLiU;細明體" w:cs="Garamond"/>
          <w:sz w:val="24"/>
          <w:szCs w:val="24"/>
        </w:rPr>
      </w:pPr>
      <w:r>
        <w:rPr>
          <w:rFonts w:eastAsia="MingLiU;細明體" w:cs="Garamond" w:ascii="Garamond" w:hAnsi="Garamond"/>
          <w:sz w:val="24"/>
          <w:szCs w:val="24"/>
        </w:rPr>
        <w:t>Литература / References</w:t>
      </w:r>
    </w:p>
    <w:p>
      <w:pPr>
        <w:pStyle w:val="Normal"/>
        <w:tabs>
          <w:tab w:val="clear" w:pos="709"/>
          <w:tab w:val="left" w:pos="1440" w:leader="none"/>
        </w:tabs>
        <w:ind w:start="720" w:hanging="720"/>
        <w:rPr>
          <w:rFonts w:ascii="Garamond" w:hAnsi="Garamond" w:eastAsia="MingLiU;細明體" w:cs="Garamond"/>
          <w:sz w:val="8"/>
          <w:szCs w:val="8"/>
        </w:rPr>
      </w:pPr>
      <w:r>
        <w:rPr>
          <w:rFonts w:eastAsia="MingLiU;細明體" w:cs="Garamond" w:ascii="Garamond" w:hAnsi="Garamond"/>
          <w:sz w:val="8"/>
          <w:szCs w:val="8"/>
        </w:rPr>
      </w:r>
    </w:p>
    <w:p>
      <w:pPr>
        <w:pStyle w:val="Normal"/>
        <w:tabs>
          <w:tab w:val="clear" w:pos="709"/>
          <w:tab w:val="left" w:pos="1440" w:leader="none"/>
        </w:tabs>
        <w:ind w:start="720" w:hanging="720"/>
        <w:jc w:val="both"/>
        <w:rPr/>
      </w:pPr>
      <w:r>
        <w:rPr>
          <w:rFonts w:eastAsia="MingLiU;細明體" w:cs="Garamond" w:ascii="Garamond" w:hAnsi="Garamond"/>
          <w:sz w:val="22"/>
          <w:szCs w:val="22"/>
        </w:rPr>
        <w:t xml:space="preserve">Белозерова В. Г. </w:t>
      </w:r>
      <w:r>
        <w:rPr>
          <w:rFonts w:eastAsia="MingLiU;細明體" w:cs="Garamond" w:ascii="Garamond" w:hAnsi="Garamond"/>
          <w:i/>
          <w:sz w:val="22"/>
          <w:szCs w:val="22"/>
        </w:rPr>
        <w:t>Искусство китайской каллиграфии</w:t>
      </w:r>
      <w:r>
        <w:rPr>
          <w:rFonts w:eastAsia="MingLiU;細明體" w:cs="Garamond" w:ascii="Garamond" w:hAnsi="Garamond"/>
          <w:sz w:val="22"/>
          <w:szCs w:val="22"/>
        </w:rPr>
        <w:t xml:space="preserve">. М., 2007 [Belozyorova V. G. </w:t>
      </w:r>
      <w:r>
        <w:rPr>
          <w:rFonts w:eastAsia="MingLiU;細明體" w:cs="Garamond" w:ascii="Garamond" w:hAnsi="Garamond"/>
          <w:i/>
          <w:sz w:val="22"/>
          <w:szCs w:val="22"/>
        </w:rPr>
        <w:t>The Art of Chinese Calligraphy</w:t>
      </w:r>
      <w:r>
        <w:rPr>
          <w:rFonts w:eastAsia="MingLiU;細明體" w:cs="Garamond" w:ascii="Garamond" w:hAnsi="Garamond"/>
          <w:sz w:val="22"/>
          <w:szCs w:val="22"/>
        </w:rPr>
        <w:t>. Moscow, 2007 (in Russian)].</w:t>
      </w:r>
    </w:p>
    <w:p>
      <w:pPr>
        <w:pStyle w:val="Normal"/>
        <w:tabs>
          <w:tab w:val="clear" w:pos="709"/>
          <w:tab w:val="left" w:pos="1440" w:leader="none"/>
        </w:tabs>
        <w:ind w:start="720" w:hanging="720"/>
        <w:jc w:val="both"/>
        <w:rPr/>
      </w:pPr>
      <w:r>
        <w:rPr>
          <w:rFonts w:eastAsia="MingLiU;細明體" w:cs="Garamond" w:ascii="Garamond" w:hAnsi="Garamond"/>
          <w:sz w:val="22"/>
          <w:szCs w:val="22"/>
        </w:rPr>
        <w:t xml:space="preserve">Дубровская Д. В. Восприятие европейской линейной перспективы в Китае на примере живописи Джузеппе Кастильоне (Лан Шинина; 1688–1766 гг.). </w:t>
      </w:r>
      <w:r>
        <w:rPr>
          <w:rFonts w:eastAsia="MingLiU;細明體" w:cs="Garamond" w:ascii="Garamond" w:hAnsi="Garamond"/>
          <w:i/>
          <w:sz w:val="22"/>
          <w:szCs w:val="22"/>
        </w:rPr>
        <w:t>Вестник Института востоковедения РАН</w:t>
      </w:r>
      <w:r>
        <w:rPr>
          <w:rFonts w:eastAsia="MingLiU;細明體" w:cs="Garamond" w:ascii="Garamond" w:hAnsi="Garamond"/>
          <w:sz w:val="22"/>
          <w:szCs w:val="22"/>
        </w:rPr>
        <w:t xml:space="preserve">. 2018а. № 1. С. 89–101 [Dubrovskaya D. V. Chinese Perception of European Linear Perspective through the Paintings of Giuseppe Castiglione (1688–1766). </w:t>
      </w:r>
      <w:r>
        <w:rPr>
          <w:rFonts w:eastAsia="MingLiU;細明體" w:cs="Garamond" w:ascii="Garamond" w:hAnsi="Garamond"/>
          <w:i/>
          <w:sz w:val="22"/>
          <w:szCs w:val="22"/>
          <w:lang w:val="en-US"/>
        </w:rPr>
        <w:t>Vestnik</w:t>
      </w:r>
      <w:r>
        <w:rPr>
          <w:rFonts w:eastAsia="MingLiU;細明體" w:cs="Garamond" w:ascii="Garamond" w:hAnsi="Garamond"/>
          <w:i/>
          <w:sz w:val="22"/>
          <w:szCs w:val="22"/>
        </w:rPr>
        <w:t xml:space="preserve"> </w:t>
      </w:r>
      <w:r>
        <w:rPr>
          <w:rFonts w:eastAsia="MingLiU;細明體" w:cs="Garamond" w:ascii="Garamond" w:hAnsi="Garamond"/>
          <w:i/>
          <w:sz w:val="22"/>
          <w:szCs w:val="22"/>
          <w:lang w:val="en-US"/>
        </w:rPr>
        <w:t>Instituta</w:t>
      </w:r>
      <w:r>
        <w:rPr>
          <w:rFonts w:eastAsia="MingLiU;細明體" w:cs="Garamond" w:ascii="Garamond" w:hAnsi="Garamond"/>
          <w:i/>
          <w:sz w:val="22"/>
          <w:szCs w:val="22"/>
        </w:rPr>
        <w:t xml:space="preserve"> </w:t>
      </w:r>
      <w:r>
        <w:rPr>
          <w:rFonts w:eastAsia="MingLiU;細明體" w:cs="Garamond" w:ascii="Garamond" w:hAnsi="Garamond"/>
          <w:i/>
          <w:sz w:val="22"/>
          <w:szCs w:val="22"/>
          <w:lang w:val="en-US"/>
        </w:rPr>
        <w:t>vostokovedenija</w:t>
      </w:r>
      <w:r>
        <w:rPr>
          <w:rFonts w:eastAsia="MingLiU;細明體" w:cs="Garamond" w:ascii="Garamond" w:hAnsi="Garamond"/>
          <w:i/>
          <w:sz w:val="22"/>
          <w:szCs w:val="22"/>
        </w:rPr>
        <w:t xml:space="preserve"> </w:t>
      </w:r>
      <w:r>
        <w:rPr>
          <w:rFonts w:eastAsia="MingLiU;細明體" w:cs="Garamond" w:ascii="Garamond" w:hAnsi="Garamond"/>
          <w:i/>
          <w:sz w:val="22"/>
          <w:szCs w:val="22"/>
          <w:lang w:val="en-US"/>
        </w:rPr>
        <w:t>RAN</w:t>
      </w:r>
      <w:r>
        <w:rPr>
          <w:rFonts w:eastAsia="MingLiU;細明體" w:cs="Garamond" w:ascii="Garamond" w:hAnsi="Garamond"/>
          <w:sz w:val="22"/>
          <w:szCs w:val="22"/>
        </w:rPr>
        <w:t>. 2018a. 1. Pp. 89–101 (in Russian)].</w:t>
      </w:r>
    </w:p>
    <w:p>
      <w:pPr>
        <w:pStyle w:val="Normal"/>
        <w:tabs>
          <w:tab w:val="clear" w:pos="709"/>
          <w:tab w:val="left" w:pos="1440" w:leader="none"/>
        </w:tabs>
        <w:ind w:start="720" w:hanging="720"/>
        <w:jc w:val="both"/>
        <w:rPr/>
      </w:pPr>
      <w:r>
        <w:rPr>
          <w:rFonts w:eastAsia="MingLiU;細明體" w:cs="Garamond" w:ascii="Garamond" w:hAnsi="Garamond"/>
          <w:sz w:val="22"/>
          <w:szCs w:val="22"/>
        </w:rPr>
        <w:t xml:space="preserve">Дубровская Д. В. Джузеппе Кастильоне (Лан Шинин; 1688–1766) в русле китайской живописной традиции: европейский подход к вопросам перспективы. Актуальные проблемы теории и истории искусства. IX. М., СПб, 2019a. С. 759–768 [Dubrovskaya D. V. Giuseppe Castiglione (Lang Shining; 1688–1766) and Chinese Artistic Tradition: European Perspective. </w:t>
      </w:r>
      <w:r>
        <w:rPr>
          <w:rFonts w:eastAsia="MingLiU;細明體" w:cs="Garamond" w:ascii="Garamond" w:hAnsi="Garamond"/>
          <w:i/>
          <w:sz w:val="22"/>
          <w:szCs w:val="22"/>
        </w:rPr>
        <w:t>Actual Problems of Theory and History of Art</w:t>
      </w:r>
      <w:r>
        <w:rPr>
          <w:rFonts w:eastAsia="MingLiU;細明體" w:cs="Garamond" w:ascii="Garamond" w:hAnsi="Garamond"/>
          <w:sz w:val="22"/>
          <w:szCs w:val="22"/>
        </w:rPr>
        <w:t>. Moscow, Saint Petersburg, 2019a. Pp. 759–768 (in Russian)].</w:t>
      </w:r>
    </w:p>
    <w:p>
      <w:pPr>
        <w:pStyle w:val="Normal"/>
        <w:tabs>
          <w:tab w:val="clear" w:pos="709"/>
          <w:tab w:val="left" w:pos="1440" w:leader="none"/>
        </w:tabs>
        <w:ind w:start="720" w:hanging="720"/>
        <w:jc w:val="both"/>
        <w:rPr>
          <w:rFonts w:ascii="Garamond" w:hAnsi="Garamond" w:cs="Garamond"/>
          <w:sz w:val="22"/>
          <w:szCs w:val="22"/>
        </w:rPr>
      </w:pPr>
      <w:r>
        <w:rPr>
          <w:rFonts w:eastAsia="MingLiU;細明體" w:cs="Garamond" w:ascii="Garamond" w:hAnsi="Garamond"/>
          <w:sz w:val="22"/>
          <w:szCs w:val="22"/>
        </w:rPr>
        <w:t xml:space="preserve">Дубровская Д. В. Евангелие Иеронима Наталиса в России и на Востоке: выставка одного памятника в Музее имени Андрея Рублева. </w:t>
      </w:r>
      <w:r>
        <w:rPr>
          <w:rFonts w:eastAsia="MingLiU;細明體" w:cs="Garamond" w:ascii="Garamond" w:hAnsi="Garamond"/>
          <w:i/>
          <w:sz w:val="22"/>
          <w:szCs w:val="22"/>
        </w:rPr>
        <w:t>Восточный курьер</w:t>
      </w:r>
      <w:r>
        <w:rPr>
          <w:rFonts w:eastAsia="MingLiU;細明體" w:cs="Garamond" w:ascii="Garamond" w:hAnsi="Garamond"/>
          <w:sz w:val="22"/>
          <w:szCs w:val="22"/>
        </w:rPr>
        <w:t xml:space="preserve">. 2019б. №. 1–2. С. 213–220 [Dubrovskaya D. V. </w:t>
      </w:r>
      <w:r>
        <w:rPr>
          <w:rFonts w:cs="Garamond" w:ascii="Garamond" w:hAnsi="Garamond"/>
          <w:sz w:val="22"/>
          <w:szCs w:val="22"/>
        </w:rPr>
        <w:t xml:space="preserve">Biblia Natalis in Russia and in the East: The One-Book Exhibition in the Central Andrey Rublev Museum of Ancient Russian Culture and Art. </w:t>
      </w:r>
      <w:r>
        <w:rPr>
          <w:rFonts w:cs="Garamond" w:ascii="Garamond" w:hAnsi="Garamond"/>
          <w:i/>
          <w:sz w:val="22"/>
          <w:szCs w:val="22"/>
        </w:rPr>
        <w:t>Vostochnyi Kurier / Oriental Courier</w:t>
      </w:r>
      <w:r>
        <w:rPr>
          <w:rFonts w:cs="Garamond" w:ascii="Garamond" w:hAnsi="Garamond"/>
          <w:sz w:val="22"/>
          <w:szCs w:val="22"/>
        </w:rPr>
        <w:t>. 2019b. 1–2. Pp. 213–220</w:t>
      </w:r>
      <w:r>
        <w:rPr>
          <w:rFonts w:eastAsia="MingLiU;細明體" w:cs="Garamond" w:ascii="Garamond" w:hAnsi="Garamond"/>
          <w:sz w:val="22"/>
          <w:szCs w:val="22"/>
        </w:rPr>
        <w:t xml:space="preserve">]. </w:t>
      </w:r>
    </w:p>
    <w:p>
      <w:pPr>
        <w:pStyle w:val="Normal"/>
        <w:tabs>
          <w:tab w:val="clear" w:pos="709"/>
          <w:tab w:val="left" w:pos="1440" w:leader="none"/>
        </w:tabs>
        <w:ind w:start="720" w:hanging="720"/>
        <w:jc w:val="both"/>
        <w:rPr/>
      </w:pPr>
      <w:r>
        <w:rPr>
          <w:rFonts w:eastAsia="MingLiU;細明體" w:cs="Garamond" w:ascii="Garamond" w:hAnsi="Garamond"/>
          <w:sz w:val="22"/>
          <w:szCs w:val="22"/>
        </w:rPr>
        <w:t xml:space="preserve">Дубровская Д. В. К вопросу о месте портретной живописи Джузеппе Кастильоне (Лан Шинина) в создании синоевропейского направления в китайском искусстве. </w:t>
      </w:r>
      <w:r>
        <w:rPr>
          <w:rFonts w:eastAsia="MingLiU;細明體" w:cs="Garamond" w:ascii="Garamond" w:hAnsi="Garamond"/>
          <w:i/>
          <w:sz w:val="22"/>
          <w:szCs w:val="22"/>
        </w:rPr>
        <w:t>Вестник Института востоковедения РАН</w:t>
      </w:r>
      <w:r>
        <w:rPr>
          <w:rFonts w:eastAsia="MingLiU;細明體" w:cs="Garamond" w:ascii="Garamond" w:hAnsi="Garamond"/>
          <w:sz w:val="22"/>
          <w:szCs w:val="22"/>
        </w:rPr>
        <w:t xml:space="preserve">. 2018б. № 2. С. 80–90 [Dubrovskaya D. V. On Giuseppe Castiglione’s (Lang Shining’s) Portraiture as a Contribution to Sino-European Style in Chinese Art. </w:t>
      </w:r>
      <w:r>
        <w:rPr>
          <w:rFonts w:eastAsia="MingLiU;細明體" w:cs="Garamond" w:ascii="Garamond" w:hAnsi="Garamond"/>
          <w:i/>
          <w:sz w:val="22"/>
          <w:szCs w:val="22"/>
          <w:lang w:val="en-US"/>
        </w:rPr>
        <w:t>Vestnik</w:t>
      </w:r>
      <w:r>
        <w:rPr>
          <w:rFonts w:eastAsia="MingLiU;細明體" w:cs="Garamond" w:ascii="Garamond" w:hAnsi="Garamond"/>
          <w:i/>
          <w:sz w:val="22"/>
          <w:szCs w:val="22"/>
        </w:rPr>
        <w:t xml:space="preserve"> </w:t>
      </w:r>
      <w:r>
        <w:rPr>
          <w:rFonts w:eastAsia="MingLiU;細明體" w:cs="Garamond" w:ascii="Garamond" w:hAnsi="Garamond"/>
          <w:i/>
          <w:sz w:val="22"/>
          <w:szCs w:val="22"/>
          <w:lang w:val="en-US"/>
        </w:rPr>
        <w:t>Instituta</w:t>
      </w:r>
      <w:r>
        <w:rPr>
          <w:rFonts w:eastAsia="MingLiU;細明體" w:cs="Garamond" w:ascii="Garamond" w:hAnsi="Garamond"/>
          <w:i/>
          <w:sz w:val="22"/>
          <w:szCs w:val="22"/>
        </w:rPr>
        <w:t xml:space="preserve"> </w:t>
      </w:r>
      <w:r>
        <w:rPr>
          <w:rFonts w:eastAsia="MingLiU;細明體" w:cs="Garamond" w:ascii="Garamond" w:hAnsi="Garamond"/>
          <w:i/>
          <w:sz w:val="22"/>
          <w:szCs w:val="22"/>
          <w:lang w:val="en-US"/>
        </w:rPr>
        <w:t>vostokovedenija</w:t>
      </w:r>
      <w:r>
        <w:rPr>
          <w:rFonts w:eastAsia="MingLiU;細明體" w:cs="Garamond" w:ascii="Garamond" w:hAnsi="Garamond"/>
          <w:i/>
          <w:sz w:val="22"/>
          <w:szCs w:val="22"/>
        </w:rPr>
        <w:t xml:space="preserve"> </w:t>
      </w:r>
      <w:r>
        <w:rPr>
          <w:rFonts w:eastAsia="MingLiU;細明體" w:cs="Garamond" w:ascii="Garamond" w:hAnsi="Garamond"/>
          <w:i/>
          <w:sz w:val="22"/>
          <w:szCs w:val="22"/>
          <w:lang w:val="en-US"/>
        </w:rPr>
        <w:t>RAN</w:t>
      </w:r>
      <w:r>
        <w:rPr>
          <w:rFonts w:eastAsia="MingLiU;細明體" w:cs="Garamond" w:ascii="Garamond" w:hAnsi="Garamond"/>
          <w:sz w:val="22"/>
          <w:szCs w:val="22"/>
        </w:rPr>
        <w:t>. 2018б. 2. С. 80–90 (in Russian)].</w:t>
      </w:r>
    </w:p>
    <w:p>
      <w:pPr>
        <w:pStyle w:val="Normal"/>
        <w:tabs>
          <w:tab w:val="clear" w:pos="709"/>
          <w:tab w:val="left" w:pos="1440" w:leader="none"/>
        </w:tabs>
        <w:ind w:start="720" w:hanging="720"/>
        <w:jc w:val="both"/>
        <w:rPr/>
      </w:pPr>
      <w:r>
        <w:rPr>
          <w:rFonts w:eastAsia="MingLiU;細明體" w:cs="Garamond" w:ascii="Garamond" w:hAnsi="Garamond"/>
          <w:sz w:val="22"/>
          <w:szCs w:val="22"/>
        </w:rPr>
        <w:t xml:space="preserve">Дубровская Д. В. </w:t>
      </w:r>
      <w:r>
        <w:rPr>
          <w:rFonts w:eastAsia="MingLiU;細明體" w:cs="Garamond" w:ascii="Garamond" w:hAnsi="Garamond"/>
          <w:i/>
          <w:sz w:val="22"/>
          <w:szCs w:val="22"/>
        </w:rPr>
        <w:t>Лан Шинин, или Джузеппе Кастильоне при дворе Сына Неба</w:t>
      </w:r>
      <w:r>
        <w:rPr>
          <w:rFonts w:eastAsia="MingLiU;細明體" w:cs="Garamond" w:ascii="Garamond" w:hAnsi="Garamond"/>
          <w:sz w:val="22"/>
          <w:szCs w:val="22"/>
        </w:rPr>
        <w:t xml:space="preserve">. М., 2018в [Dubrovskaya D. V. </w:t>
      </w:r>
      <w:r>
        <w:rPr>
          <w:rFonts w:eastAsia="MingLiU;細明體" w:cs="Garamond" w:ascii="Garamond" w:hAnsi="Garamond"/>
          <w:i/>
          <w:sz w:val="22"/>
          <w:szCs w:val="22"/>
        </w:rPr>
        <w:t>Lang Shining, or Giuseppe Castiglione at the Court of the Son of Heaven</w:t>
      </w:r>
      <w:r>
        <w:rPr>
          <w:rFonts w:eastAsia="MingLiU;細明體" w:cs="Garamond" w:ascii="Garamond" w:hAnsi="Garamond"/>
          <w:sz w:val="22"/>
          <w:szCs w:val="22"/>
        </w:rPr>
        <w:t>. Moscow, 2018в (in Russian) ].</w:t>
      </w:r>
    </w:p>
    <w:p>
      <w:pPr>
        <w:pStyle w:val="Normal"/>
        <w:tabs>
          <w:tab w:val="clear" w:pos="709"/>
          <w:tab w:val="left" w:pos="1440" w:leader="none"/>
        </w:tabs>
        <w:ind w:start="720" w:hanging="720"/>
        <w:jc w:val="both"/>
        <w:rPr/>
      </w:pPr>
      <w:r>
        <w:rPr>
          <w:rFonts w:eastAsia="MingLiU;細明體" w:cs="Garamond" w:ascii="Garamond" w:hAnsi="Garamond"/>
          <w:sz w:val="22"/>
          <w:szCs w:val="22"/>
        </w:rPr>
        <w:t xml:space="preserve">Дубровская Д. В. </w:t>
      </w:r>
      <w:r>
        <w:rPr>
          <w:rFonts w:eastAsia="MingLiU;細明體" w:cs="Garamond" w:ascii="Garamond" w:hAnsi="Garamond"/>
          <w:i/>
          <w:sz w:val="22"/>
          <w:szCs w:val="22"/>
        </w:rPr>
        <w:t>Миссия иезуитов в Китае. Маттео Риччи и другие (1552–1775 гг.)</w:t>
      </w:r>
      <w:r>
        <w:rPr>
          <w:rFonts w:eastAsia="MingLiU;細明體" w:cs="Garamond" w:ascii="Garamond" w:hAnsi="Garamond"/>
          <w:sz w:val="22"/>
          <w:szCs w:val="22"/>
        </w:rPr>
        <w:t xml:space="preserve">. М., 2001 [Dubrovskaya D. V. </w:t>
      </w:r>
      <w:r>
        <w:rPr>
          <w:rFonts w:eastAsia="MingLiU;細明體" w:cs="Garamond" w:ascii="Garamond" w:hAnsi="Garamond"/>
          <w:i/>
          <w:sz w:val="22"/>
          <w:szCs w:val="22"/>
        </w:rPr>
        <w:t>Jesuit Mission in China. Mateo Ricci and Others (1552–1775)</w:t>
      </w:r>
      <w:r>
        <w:rPr>
          <w:rFonts w:eastAsia="MingLiU;細明體" w:cs="Garamond" w:ascii="Garamond" w:hAnsi="Garamond"/>
          <w:sz w:val="22"/>
          <w:szCs w:val="22"/>
        </w:rPr>
        <w:t>. Moscow, 2001 (in Russian)].</w:t>
      </w:r>
    </w:p>
    <w:p>
      <w:pPr>
        <w:pStyle w:val="Normal"/>
        <w:tabs>
          <w:tab w:val="clear" w:pos="709"/>
          <w:tab w:val="left" w:pos="1440" w:leader="none"/>
        </w:tabs>
        <w:ind w:start="720" w:hanging="720"/>
        <w:jc w:val="both"/>
        <w:rPr/>
      </w:pPr>
      <w:r>
        <w:rPr>
          <w:rFonts w:eastAsia="MingLiU;細明體" w:cs="Garamond" w:ascii="Garamond" w:hAnsi="Garamond"/>
          <w:sz w:val="22"/>
          <w:szCs w:val="22"/>
        </w:rPr>
        <w:t xml:space="preserve">Дубровская Д. В. Трактат «О Дружбе» Маттео Риччи как одна из причин успеха проповеди христианства в минском Китае. </w:t>
      </w:r>
      <w:r>
        <w:rPr>
          <w:rFonts w:eastAsia="MingLiU;細明體" w:cs="Garamond" w:ascii="Garamond" w:hAnsi="Garamond"/>
          <w:i/>
          <w:sz w:val="22"/>
          <w:szCs w:val="22"/>
        </w:rPr>
        <w:t>Восток (Oriens)</w:t>
      </w:r>
      <w:r>
        <w:rPr>
          <w:rFonts w:eastAsia="MingLiU;細明體" w:cs="Garamond" w:ascii="Garamond" w:hAnsi="Garamond"/>
          <w:sz w:val="22"/>
          <w:szCs w:val="22"/>
        </w:rPr>
        <w:t xml:space="preserve">. 2020. № 3. С. 175–186 [Matteo Ricci’s Dell’Amicizia as Medium for Successful Christian Proselytization in China. </w:t>
      </w:r>
      <w:r>
        <w:rPr>
          <w:rFonts w:eastAsia="MingLiU;細明體" w:cs="Garamond" w:ascii="Garamond" w:hAnsi="Garamond"/>
          <w:i/>
          <w:sz w:val="22"/>
          <w:szCs w:val="22"/>
        </w:rPr>
        <w:t>Vostok (Oriens)</w:t>
      </w:r>
      <w:r>
        <w:rPr>
          <w:rFonts w:eastAsia="MingLiU;細明體" w:cs="Garamond" w:ascii="Garamond" w:hAnsi="Garamond"/>
          <w:sz w:val="22"/>
          <w:szCs w:val="22"/>
        </w:rPr>
        <w:t>. 2020. 3. Pp. 175–186 (in Russian)].</w:t>
      </w:r>
    </w:p>
    <w:p>
      <w:pPr>
        <w:pStyle w:val="Normal"/>
        <w:tabs>
          <w:tab w:val="clear" w:pos="709"/>
          <w:tab w:val="left" w:pos="1440" w:leader="none"/>
        </w:tabs>
        <w:ind w:start="720" w:hanging="720"/>
        <w:jc w:val="both"/>
        <w:rPr/>
      </w:pPr>
      <w:r>
        <w:rPr>
          <w:rFonts w:eastAsia="MingLiU;細明體" w:cs="Garamond" w:ascii="Garamond" w:hAnsi="Garamond"/>
          <w:i/>
          <w:sz w:val="22"/>
          <w:szCs w:val="22"/>
        </w:rPr>
        <w:t>Цыхай бянь цзи вэйюань хуэй</w:t>
      </w:r>
      <w:r>
        <w:rPr>
          <w:rFonts w:eastAsia="MingLiU;細明體" w:cs="Garamond" w:ascii="Garamond" w:hAnsi="Garamond"/>
          <w:sz w:val="22"/>
          <w:szCs w:val="22"/>
        </w:rPr>
        <w:t xml:space="preserve"> (</w:t>
      </w:r>
      <w:r>
        <w:rPr>
          <w:rFonts w:ascii="Garamond" w:hAnsi="Garamond" w:eastAsia="MingLiU;細明體"/>
          <w:sz w:val="22"/>
          <w:szCs w:val="22"/>
        </w:rPr>
        <w:t>辞海</w:t>
      </w:r>
      <w:r>
        <w:rPr>
          <w:rFonts w:ascii="Garamond" w:hAnsi="Garamond" w:eastAsia="SimSun;宋体"/>
          <w:sz w:val="22"/>
          <w:szCs w:val="22"/>
        </w:rPr>
        <w:t>编辑</w:t>
      </w:r>
      <w:r>
        <w:rPr>
          <w:rFonts w:ascii="Garamond" w:hAnsi="Garamond" w:eastAsia="MingLiU;細明體"/>
          <w:sz w:val="22"/>
          <w:szCs w:val="22"/>
        </w:rPr>
        <w:t>委</w:t>
      </w:r>
      <w:r>
        <w:rPr>
          <w:rFonts w:ascii="Garamond" w:hAnsi="Garamond" w:eastAsia="SimSun;宋体"/>
          <w:sz w:val="22"/>
          <w:szCs w:val="22"/>
        </w:rPr>
        <w:t>员</w:t>
      </w:r>
      <w:r>
        <w:rPr>
          <w:rFonts w:ascii="Garamond" w:hAnsi="Garamond" w:eastAsia="MingLiU;細明體"/>
          <w:sz w:val="22"/>
          <w:szCs w:val="22"/>
        </w:rPr>
        <w:t>会</w:t>
      </w:r>
      <w:r>
        <w:rPr>
          <w:rFonts w:eastAsia="MingLiU;細明體" w:cs="Garamond" w:ascii="Garamond" w:hAnsi="Garamond"/>
          <w:sz w:val="22"/>
          <w:szCs w:val="22"/>
        </w:rPr>
        <w:t>; Издательский совет [словаря] Цыхай — «море слов»). Шанхай, 1979.</w:t>
      </w:r>
    </w:p>
    <w:p>
      <w:pPr>
        <w:pStyle w:val="Normal"/>
        <w:tabs>
          <w:tab w:val="clear" w:pos="709"/>
          <w:tab w:val="left" w:pos="1440" w:leader="none"/>
        </w:tabs>
        <w:ind w:start="720" w:hanging="720"/>
        <w:jc w:val="both"/>
        <w:rPr/>
      </w:pPr>
      <w:r>
        <w:rPr>
          <w:rFonts w:eastAsia="MingLiU;細明體" w:cs="Garamond" w:ascii="Garamond" w:hAnsi="Garamond"/>
          <w:sz w:val="22"/>
          <w:szCs w:val="22"/>
        </w:rPr>
        <w:t xml:space="preserve">Arnold L. </w:t>
      </w:r>
      <w:r>
        <w:rPr>
          <w:rFonts w:eastAsia="MingLiU;細明體" w:cs="Garamond" w:ascii="Garamond" w:hAnsi="Garamond"/>
          <w:i/>
          <w:sz w:val="22"/>
          <w:szCs w:val="22"/>
        </w:rPr>
        <w:t>Princely Gifts and Papal Treasures: The Franciscan Mission to China and Its Influence on the Art of the West 1250–1350</w:t>
      </w:r>
      <w:r>
        <w:rPr>
          <w:rFonts w:eastAsia="MingLiU;細明體" w:cs="Garamond" w:ascii="Garamond" w:hAnsi="Garamond"/>
          <w:sz w:val="22"/>
          <w:szCs w:val="22"/>
        </w:rPr>
        <w:t>. San-Francisco, 1999.</w:t>
      </w:r>
    </w:p>
    <w:p>
      <w:pPr>
        <w:pStyle w:val="Normal"/>
        <w:tabs>
          <w:tab w:val="clear" w:pos="709"/>
          <w:tab w:val="left" w:pos="1440" w:leader="none"/>
        </w:tabs>
        <w:ind w:start="720" w:hanging="720"/>
        <w:jc w:val="both"/>
        <w:rPr/>
      </w:pPr>
      <w:r>
        <w:rPr>
          <w:rFonts w:eastAsia="MingLiU;細明體" w:cs="Garamond" w:ascii="Garamond" w:hAnsi="Garamond"/>
          <w:sz w:val="22"/>
          <w:szCs w:val="22"/>
        </w:rPr>
        <w:t xml:space="preserve">Bailey G. </w:t>
      </w:r>
      <w:r>
        <w:rPr>
          <w:rFonts w:eastAsia="MingLiU;細明體" w:cs="Garamond" w:ascii="Garamond" w:hAnsi="Garamond"/>
          <w:i/>
          <w:sz w:val="22"/>
          <w:szCs w:val="22"/>
        </w:rPr>
        <w:t>Art on the Jesuit Missions in Asia and Latin America: 1542–1773</w:t>
      </w:r>
      <w:r>
        <w:rPr>
          <w:rFonts w:eastAsia="MingLiU;細明體" w:cs="Garamond" w:ascii="Garamond" w:hAnsi="Garamond"/>
          <w:sz w:val="22"/>
          <w:szCs w:val="22"/>
        </w:rPr>
        <w:t>. Toronto, 1999.</w:t>
      </w:r>
    </w:p>
    <w:p>
      <w:pPr>
        <w:pStyle w:val="Normal"/>
        <w:tabs>
          <w:tab w:val="clear" w:pos="709"/>
          <w:tab w:val="left" w:pos="1440" w:leader="none"/>
        </w:tabs>
        <w:ind w:start="720" w:hanging="720"/>
        <w:jc w:val="both"/>
        <w:rPr/>
      </w:pPr>
      <w:r>
        <w:rPr>
          <w:rFonts w:eastAsia="MingLiU;細明體" w:cs="Garamond" w:ascii="Garamond" w:hAnsi="Garamond"/>
          <w:sz w:val="22"/>
          <w:szCs w:val="22"/>
        </w:rPr>
        <w:t xml:space="preserve">Beurdeley C., Sullivan M. </w:t>
      </w:r>
      <w:r>
        <w:rPr>
          <w:rFonts w:eastAsia="MingLiU;細明體" w:cs="Garamond" w:ascii="Garamond" w:hAnsi="Garamond"/>
          <w:i/>
          <w:sz w:val="22"/>
          <w:szCs w:val="22"/>
        </w:rPr>
        <w:t>Giuseppe Castiglione: A Jesuit Painter at the Court of the Chinese Emperors</w:t>
      </w:r>
      <w:r>
        <w:rPr>
          <w:rFonts w:eastAsia="MingLiU;細明體" w:cs="Garamond" w:ascii="Garamond" w:hAnsi="Garamond"/>
          <w:sz w:val="22"/>
          <w:szCs w:val="22"/>
        </w:rPr>
        <w:t>. Vermont, Tokyo, 1971.</w:t>
      </w:r>
    </w:p>
    <w:p>
      <w:pPr>
        <w:pStyle w:val="Normal"/>
        <w:tabs>
          <w:tab w:val="clear" w:pos="709"/>
          <w:tab w:val="left" w:pos="1440" w:leader="none"/>
        </w:tabs>
        <w:ind w:start="720" w:hanging="720"/>
        <w:jc w:val="both"/>
        <w:rPr/>
      </w:pPr>
      <w:r>
        <w:rPr>
          <w:rFonts w:eastAsia="MingLiU;細明體" w:cs="Garamond" w:ascii="Garamond" w:hAnsi="Garamond"/>
          <w:sz w:val="22"/>
          <w:szCs w:val="22"/>
        </w:rPr>
        <w:t xml:space="preserve">Chaves J. </w:t>
      </w:r>
      <w:r>
        <w:rPr>
          <w:rFonts w:eastAsia="MingLiU;細明體" w:cs="Garamond" w:ascii="Garamond" w:hAnsi="Garamond"/>
          <w:i/>
          <w:sz w:val="22"/>
          <w:szCs w:val="22"/>
        </w:rPr>
        <w:t>Singing of the Source: Nature and God in the Poetry of the Chinese Painter Wu Li</w:t>
      </w:r>
      <w:r>
        <w:rPr>
          <w:rFonts w:eastAsia="MingLiU;細明體" w:cs="Garamond" w:ascii="Garamond" w:hAnsi="Garamond"/>
          <w:sz w:val="22"/>
          <w:szCs w:val="22"/>
        </w:rPr>
        <w:t>. Honolulu, 1993.</w:t>
      </w:r>
    </w:p>
    <w:p>
      <w:pPr>
        <w:pStyle w:val="Normal"/>
        <w:tabs>
          <w:tab w:val="clear" w:pos="709"/>
          <w:tab w:val="left" w:pos="1440" w:leader="none"/>
        </w:tabs>
        <w:ind w:start="720" w:hanging="720"/>
        <w:jc w:val="both"/>
        <w:rPr/>
      </w:pPr>
      <w:r>
        <w:rPr>
          <w:rFonts w:eastAsia="MingLiU;細明體" w:cs="Garamond" w:ascii="Garamond" w:hAnsi="Garamond"/>
          <w:sz w:val="22"/>
          <w:szCs w:val="22"/>
        </w:rPr>
        <w:t xml:space="preserve">Chaves J. Wu Li (1632–1718) and the First Chinese Christian Poetry. </w:t>
      </w:r>
      <w:r>
        <w:rPr>
          <w:rFonts w:eastAsia="MingLiU;細明體" w:cs="Garamond" w:ascii="Garamond" w:hAnsi="Garamond"/>
          <w:i/>
          <w:sz w:val="22"/>
          <w:szCs w:val="22"/>
        </w:rPr>
        <w:t>Journal of the American Oriental Society</w:t>
      </w:r>
      <w:r>
        <w:rPr>
          <w:rFonts w:eastAsia="MingLiU;細明體" w:cs="Garamond" w:ascii="Garamond" w:hAnsi="Garamond"/>
          <w:sz w:val="22"/>
          <w:szCs w:val="22"/>
        </w:rPr>
        <w:t>. 2002. 122.3. Pp. 506–519.</w:t>
      </w:r>
    </w:p>
    <w:p>
      <w:pPr>
        <w:pStyle w:val="Normal"/>
        <w:tabs>
          <w:tab w:val="clear" w:pos="709"/>
          <w:tab w:val="left" w:pos="1440" w:leader="none"/>
        </w:tabs>
        <w:ind w:start="720" w:hanging="720"/>
        <w:jc w:val="both"/>
        <w:rPr/>
      </w:pPr>
      <w:r>
        <w:rPr>
          <w:rFonts w:eastAsia="MingLiU;細明體" w:cs="Garamond" w:ascii="Garamond" w:hAnsi="Garamond"/>
          <w:sz w:val="22"/>
          <w:szCs w:val="22"/>
        </w:rPr>
        <w:t xml:space="preserve">Dubrovskaya D. V. Orientalism and Occidentalism: When the Twain Meet. </w:t>
      </w:r>
      <w:r>
        <w:rPr>
          <w:rFonts w:eastAsia="MingLiU;細明體" w:cs="Garamond" w:ascii="Garamond" w:hAnsi="Garamond"/>
          <w:i/>
          <w:sz w:val="22"/>
          <w:szCs w:val="22"/>
        </w:rPr>
        <w:t>Vostok (Oriens)</w:t>
      </w:r>
      <w:r>
        <w:rPr>
          <w:rFonts w:eastAsia="MingLiU;細明體" w:cs="Garamond" w:ascii="Garamond" w:hAnsi="Garamond"/>
          <w:sz w:val="22"/>
          <w:szCs w:val="22"/>
        </w:rPr>
        <w:t xml:space="preserve">. </w:t>
      </w:r>
      <w:r>
        <w:rPr>
          <w:rFonts w:eastAsia="MingLiU;細明體" w:cs="Garamond" w:ascii="Garamond" w:hAnsi="Garamond"/>
          <w:sz w:val="22"/>
          <w:szCs w:val="22"/>
          <w:lang w:val="en-US"/>
        </w:rPr>
        <w:t>2019. 5. Pp. 77–82.</w:t>
      </w:r>
    </w:p>
    <w:p>
      <w:pPr>
        <w:pStyle w:val="Normal"/>
        <w:tabs>
          <w:tab w:val="clear" w:pos="709"/>
          <w:tab w:val="left" w:pos="1440" w:leader="none"/>
        </w:tabs>
        <w:ind w:start="720" w:hanging="720"/>
        <w:jc w:val="both"/>
        <w:rPr/>
      </w:pPr>
      <w:r>
        <w:rPr>
          <w:rFonts w:eastAsia="MingLiU;細明體" w:cs="Garamond" w:ascii="Garamond" w:hAnsi="Garamond"/>
          <w:sz w:val="22"/>
          <w:szCs w:val="22"/>
          <w:lang w:val="en-US"/>
        </w:rPr>
        <w:t xml:space="preserve">Rule P. A. What Were “The Directives of Matteo Ricci” Regarding the Chinese Rites? </w:t>
      </w:r>
      <w:r>
        <w:rPr>
          <w:rFonts w:eastAsia="MingLiU;細明體" w:cs="Garamond" w:ascii="Garamond" w:hAnsi="Garamond"/>
          <w:i/>
          <w:sz w:val="22"/>
          <w:szCs w:val="22"/>
          <w:lang w:val="en-US"/>
        </w:rPr>
        <w:t>Pacific Rim Report</w:t>
      </w:r>
      <w:r>
        <w:rPr>
          <w:rFonts w:eastAsia="MingLiU;細明體" w:cs="Garamond" w:ascii="Garamond" w:hAnsi="Garamond"/>
          <w:sz w:val="22"/>
          <w:szCs w:val="22"/>
          <w:lang w:val="en-US"/>
        </w:rPr>
        <w:t>. 2010. 54. Pp. 1–8;</w:t>
      </w:r>
    </w:p>
    <w:p>
      <w:pPr>
        <w:pStyle w:val="Normal"/>
        <w:tabs>
          <w:tab w:val="clear" w:pos="709"/>
          <w:tab w:val="left" w:pos="1440" w:leader="none"/>
        </w:tabs>
        <w:ind w:start="720" w:hanging="720"/>
        <w:jc w:val="both"/>
        <w:rPr/>
      </w:pPr>
      <w:r>
        <w:rPr>
          <w:rFonts w:eastAsia="MingLiU;細明體" w:cs="Garamond" w:ascii="Garamond" w:hAnsi="Garamond"/>
          <w:i/>
          <w:sz w:val="22"/>
          <w:szCs w:val="22"/>
          <w:lang w:val="en-US"/>
        </w:rPr>
        <w:t>The D</w:t>
      </w:r>
      <w:r>
        <w:rPr>
          <w:rFonts w:eastAsia="MingLiU;細明體" w:cs="Garamond" w:ascii="Garamond" w:hAnsi="Garamond"/>
          <w:i/>
          <w:sz w:val="22"/>
          <w:szCs w:val="22"/>
        </w:rPr>
        <w:t>iary of Matthew Ricci. Matthew Ricci. China in the Sixteenth Century</w:t>
      </w:r>
      <w:r>
        <w:rPr>
          <w:rFonts w:eastAsia="MingLiU;細明體" w:cs="Garamond" w:ascii="Garamond" w:hAnsi="Garamond"/>
          <w:sz w:val="22"/>
          <w:szCs w:val="22"/>
        </w:rPr>
        <w:t>. Trans. By L. Gallagher. New York, 1942, 1970.</w:t>
      </w:r>
    </w:p>
    <w:p>
      <w:pPr>
        <w:pStyle w:val="Normal"/>
        <w:tabs>
          <w:tab w:val="clear" w:pos="709"/>
          <w:tab w:val="left" w:pos="1440" w:leader="none"/>
        </w:tabs>
        <w:ind w:start="720" w:hanging="720"/>
        <w:jc w:val="both"/>
        <w:rPr>
          <w:rFonts w:ascii="Garamond" w:hAnsi="Garamond" w:eastAsia="MingLiU;細明體" w:cs="Garamond"/>
          <w:sz w:val="22"/>
          <w:szCs w:val="22"/>
          <w:lang w:val="en-US"/>
        </w:rPr>
      </w:pPr>
      <w:r>
        <w:rPr>
          <w:rFonts w:eastAsia="MingLiU;細明體" w:cs="Garamond" w:ascii="Garamond" w:hAnsi="Garamond"/>
          <w:sz w:val="22"/>
          <w:szCs w:val="22"/>
          <w:lang w:val="en-US"/>
        </w:rPr>
      </w:r>
    </w:p>
    <w:p>
      <w:pPr>
        <w:pStyle w:val="Normal"/>
        <w:tabs>
          <w:tab w:val="clear" w:pos="709"/>
          <w:tab w:val="left" w:pos="1440" w:leader="none"/>
        </w:tabs>
        <w:ind w:start="720" w:hanging="720"/>
        <w:jc w:val="both"/>
        <w:rPr>
          <w:rFonts w:ascii="Garamond" w:hAnsi="Garamond" w:eastAsia="MingLiU;細明體" w:cs="Garamond"/>
          <w:sz w:val="22"/>
          <w:szCs w:val="22"/>
          <w:lang w:val="en-US"/>
        </w:rPr>
      </w:pPr>
      <w:r>
        <w:rPr>
          <w:rFonts w:eastAsia="MingLiU;細明體" w:cs="Garamond" w:ascii="Garamond" w:hAnsi="Garamond"/>
          <w:sz w:val="22"/>
          <w:szCs w:val="22"/>
          <w:lang w:val="en-US"/>
        </w:rPr>
      </w:r>
    </w:p>
    <w:p>
      <w:pPr>
        <w:pStyle w:val="Normal"/>
        <w:tabs>
          <w:tab w:val="clear" w:pos="709"/>
          <w:tab w:val="left" w:pos="1440" w:leader="none"/>
        </w:tabs>
        <w:ind w:start="720" w:hanging="720"/>
        <w:jc w:val="center"/>
        <w:rPr/>
      </w:pPr>
      <w:r>
        <w:rPr>
          <w:rFonts w:eastAsia="MingLiU;細明體" w:cs="Garamond" w:ascii="Garamond" w:hAnsi="Garamond"/>
          <w:sz w:val="24"/>
          <w:szCs w:val="24"/>
        </w:rPr>
        <w:t>Электронные ресурсы / Electronic sources</w:t>
      </w:r>
    </w:p>
    <w:p>
      <w:pPr>
        <w:pStyle w:val="Normal"/>
        <w:tabs>
          <w:tab w:val="clear" w:pos="709"/>
          <w:tab w:val="left" w:pos="1440" w:leader="none"/>
        </w:tabs>
        <w:ind w:start="720" w:hanging="720"/>
        <w:jc w:val="both"/>
        <w:rPr>
          <w:rFonts w:ascii="Garamond" w:hAnsi="Garamond" w:eastAsia="MingLiU;細明體" w:cs="Garamond"/>
          <w:sz w:val="8"/>
          <w:szCs w:val="8"/>
        </w:rPr>
      </w:pPr>
      <w:r>
        <w:rPr>
          <w:rFonts w:eastAsia="MingLiU;細明體" w:cs="Garamond" w:ascii="Garamond" w:hAnsi="Garamond"/>
          <w:sz w:val="8"/>
          <w:szCs w:val="8"/>
        </w:rPr>
      </w:r>
    </w:p>
    <w:p>
      <w:pPr>
        <w:pStyle w:val="Normal"/>
        <w:tabs>
          <w:tab w:val="clear" w:pos="709"/>
          <w:tab w:val="left" w:pos="1440" w:leader="none"/>
        </w:tabs>
        <w:ind w:start="720" w:hanging="720"/>
        <w:jc w:val="both"/>
        <w:rPr/>
      </w:pPr>
      <w:r>
        <w:rPr>
          <w:rFonts w:eastAsia="MingLiU;細明體" w:cs="Garamond" w:ascii="Garamond" w:hAnsi="Garamond"/>
          <w:sz w:val="22"/>
          <w:szCs w:val="22"/>
        </w:rPr>
        <w:t xml:space="preserve">Белозерова В. Г. Эстетические принципы каллиграфической традиции Китая. </w:t>
      </w:r>
      <w:r>
        <w:rPr>
          <w:rFonts w:eastAsia="MingLiU;細明體" w:cs="Garamond" w:ascii="Garamond" w:hAnsi="Garamond"/>
          <w:i/>
          <w:sz w:val="22"/>
          <w:szCs w:val="22"/>
        </w:rPr>
        <w:t>Философские науки</w:t>
      </w:r>
      <w:r>
        <w:rPr>
          <w:rFonts w:eastAsia="MingLiU;細明體" w:cs="Garamond" w:ascii="Garamond" w:hAnsi="Garamond"/>
          <w:sz w:val="22"/>
          <w:szCs w:val="22"/>
        </w:rPr>
        <w:t>. 2013. URL: http://academyrh.info/html/ref/20050407.htm (дата обращения 21.05.2017).</w:t>
      </w:r>
    </w:p>
    <w:p>
      <w:pPr>
        <w:pStyle w:val="Normal"/>
        <w:tabs>
          <w:tab w:val="clear" w:pos="709"/>
          <w:tab w:val="left" w:pos="1440" w:leader="none"/>
        </w:tabs>
        <w:ind w:start="720" w:hanging="720"/>
        <w:jc w:val="both"/>
        <w:rPr/>
      </w:pPr>
      <w:r>
        <w:rPr>
          <w:rFonts w:eastAsia="MingLiU;細明體" w:cs="Garamond" w:ascii="Garamond" w:hAnsi="Garamond"/>
          <w:i/>
          <w:sz w:val="22"/>
          <w:szCs w:val="22"/>
        </w:rPr>
        <w:t>Rome Reborn: The Vatican Library &amp; Renaissance Culture. How Rome went to China</w:t>
      </w:r>
      <w:r>
        <w:rPr>
          <w:rFonts w:eastAsia="MingLiU;細明體" w:cs="Garamond" w:ascii="Garamond" w:hAnsi="Garamond"/>
          <w:sz w:val="22"/>
          <w:szCs w:val="22"/>
        </w:rPr>
        <w:t>. URL: https://www.loc.gov/exhibits/vatican/romechin.html (дата обращения 08.11.2020).</w:t>
      </w:r>
    </w:p>
    <w:p>
      <w:pPr>
        <w:pStyle w:val="Normal"/>
        <w:tabs>
          <w:tab w:val="clear" w:pos="709"/>
          <w:tab w:val="left" w:pos="1440" w:leader="none"/>
        </w:tabs>
        <w:ind w:start="720" w:hanging="720"/>
        <w:jc w:val="both"/>
        <w:rPr/>
      </w:pPr>
      <w:r>
        <w:rPr>
          <w:rFonts w:eastAsia="MingLiU;細明體" w:cs="Garamond" w:ascii="Garamond" w:hAnsi="Garamond"/>
          <w:sz w:val="22"/>
          <w:szCs w:val="22"/>
        </w:rPr>
        <w:t xml:space="preserve">Vossilla F. Artistic Diplomacy during and after the Rites Controversy. </w:t>
      </w:r>
      <w:r>
        <w:rPr>
          <w:rFonts w:eastAsia="MingLiU;細明體" w:cs="Garamond" w:ascii="Garamond" w:hAnsi="Garamond"/>
          <w:i/>
          <w:sz w:val="22"/>
          <w:szCs w:val="22"/>
        </w:rPr>
        <w:t>Academia.edu</w:t>
      </w:r>
      <w:r>
        <w:rPr>
          <w:rFonts w:eastAsia="MingLiU;細明體" w:cs="Garamond" w:ascii="Garamond" w:hAnsi="Garamond"/>
          <w:sz w:val="22"/>
          <w:szCs w:val="22"/>
        </w:rPr>
        <w:t>. URL: https://www.academia.edu/36777636/Artistic_diplomacy_during_and_after_the_Rites_Controversy_in_Ferdinando_Moggi_1684_1761_architetto_e_gesuita_fiorentino_in_Cina (дата обращения 06.11.2020).</w:t>
      </w:r>
    </w:p>
    <w:p>
      <w:pPr>
        <w:pStyle w:val="Normal"/>
        <w:tabs>
          <w:tab w:val="clear" w:pos="709"/>
          <w:tab w:val="left" w:pos="1440" w:leader="none"/>
        </w:tabs>
        <w:ind w:start="720" w:hanging="720"/>
        <w:jc w:val="both"/>
        <w:rPr/>
      </w:pPr>
      <w:r>
        <w:rPr>
          <w:rFonts w:eastAsia="MingLiU;細明體" w:cs="Garamond" w:ascii="Garamond" w:hAnsi="Garamond"/>
          <w:i/>
          <w:sz w:val="22"/>
          <w:szCs w:val="22"/>
        </w:rPr>
        <w:t>Wu Li. Silk Qin.com</w:t>
      </w:r>
      <w:r>
        <w:rPr>
          <w:rFonts w:eastAsia="MingLiU;細明體" w:cs="Garamond" w:ascii="Garamond" w:hAnsi="Garamond"/>
          <w:sz w:val="22"/>
          <w:szCs w:val="22"/>
        </w:rPr>
        <w:t>. URL: http://www.silkqin.com/09hist/other/wuli.htm (дата обращения 06.10.2020).</w:t>
      </w:r>
    </w:p>
    <w:sectPr>
      <w:headerReference w:type="default" r:id="rId8"/>
      <w:footerReference w:type="default" r:id="rId9"/>
      <w:footnotePr>
        <w:numFmt w:val="chicago"/>
        <w:numRestart w:val="eachSect"/>
      </w:footnotePr>
      <w:type w:val="nextPage"/>
      <w:pgSz w:w="11055" w:h="14740"/>
      <w:pgMar w:left="1134" w:right="1134" w:header="709" w:top="1134" w:footer="709"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Times New Roman">
    <w:charset w:val="cc" w:characterSet="windows-1251"/>
    <w:family w:val="roman"/>
    <w:pitch w:val="variable"/>
  </w:font>
  <w:font w:name="Arial">
    <w:charset w:val="cc" w:characterSet="windows-1251"/>
    <w:family w:val="swiss"/>
    <w:pitch w:val="variable"/>
  </w:font>
  <w:font w:name="Times">
    <w:altName w:val="Times New Roman"/>
    <w:charset w:val="00" w:characterSet="windows-1252"/>
    <w:family w:val="roman"/>
    <w:pitch w:val="variable"/>
  </w:font>
  <w:font w:name="Courier New">
    <w:charset w:val="cc" w:characterSet="windows-1251"/>
    <w:family w:val="modern"/>
    <w:pitch w:val="default"/>
  </w:font>
  <w:font w:name="Garamond">
    <w:charset w:val="cc" w:characterSet="windows-1251"/>
    <w:family w:val="roman"/>
    <w:pitch w:val="variable"/>
  </w:font>
  <w:font w:name="Liberation Sans">
    <w:altName w:val="Arial"/>
    <w:charset w:val="01" w:characterSet="utf-8"/>
    <w:family w:val="swiss"/>
    <w:pitch w:val="variable"/>
  </w:font>
  <w:font w:name="MingLiU">
    <w:altName w:val="細明體"/>
    <w:charset w:val="88"/>
    <w:family w:val="modern"/>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8"/>
      <w:rPr>
        <w:rFonts w:ascii="Garamond" w:hAnsi="Garamond" w:cs="Garamond"/>
        <w:sz w:val="22"/>
        <w:szCs w:val="22"/>
      </w:rPr>
    </w:pPr>
    <w:r>
      <w:rPr>
        <w:rFonts w:cs="Garamond" w:ascii="Garamond" w:hAnsi="Garamond"/>
        <w:sz w:val="22"/>
        <w:szCs w:val="22"/>
      </w:rPr>
    </w:r>
    <w:r>
      <mc:AlternateContent>
        <mc:Choice Requires="wps">
          <w:drawing>
            <wp:anchor behindDoc="0" distT="0" distB="0" distL="0" distR="0" simplePos="0" locked="0" layoutInCell="0" allowOverlap="1" relativeHeight="9">
              <wp:simplePos x="0" y="0"/>
              <wp:positionH relativeFrom="margin">
                <wp:align>center</wp:align>
              </wp:positionH>
              <wp:positionV relativeFrom="paragraph">
                <wp:posOffset>635</wp:posOffset>
              </wp:positionV>
              <wp:extent cx="267335" cy="162560"/>
              <wp:effectExtent l="0" t="0" r="0" b="0"/>
              <wp:wrapSquare wrapText="largest"/>
              <wp:docPr id="1" name="Врезка2"/>
              <a:graphic xmlns:a="http://schemas.openxmlformats.org/drawingml/2006/main">
                <a:graphicData uri="http://schemas.microsoft.com/office/word/2010/wordprocessingShape">
                  <wps:wsp>
                    <wps:cNvSpPr txBox="1"/>
                    <wps:spPr>
                      <a:xfrm>
                        <a:off x="0" y="0"/>
                        <a:ext cx="267335" cy="162560"/>
                      </a:xfrm>
                      <a:prstGeom prst="rect"/>
                      <a:solidFill>
                        <a:srgbClr val="FFFFFF">
                          <a:alpha val="0"/>
                        </a:srgbClr>
                      </a:solidFill>
                    </wps:spPr>
                    <wps:txbx>
                      <w:txbxContent>
                        <w:p>
                          <w:pPr>
                            <w:pStyle w:val="Style28"/>
                            <w:rPr>
                              <w:rStyle w:val="Style16"/>
                              <w:rFonts w:ascii="Garamond" w:hAnsi="Garamond" w:cs="Garamond"/>
                              <w:sz w:val="22"/>
                              <w:szCs w:val="22"/>
                            </w:rPr>
                          </w:pPr>
                          <w:r>
                            <w:rPr>
                              <w:rStyle w:val="Style16"/>
                              <w:rFonts w:cs="Garamond" w:ascii="Garamond" w:hAnsi="Garamond"/>
                              <w:sz w:val="22"/>
                              <w:szCs w:val="22"/>
                            </w:rPr>
                            <w:fldChar w:fldCharType="begin"/>
                          </w:r>
                          <w:r>
                            <w:rPr>
                              <w:rStyle w:val="Style16"/>
                              <w:sz w:val="22"/>
                              <w:szCs w:val="22"/>
                              <w:rFonts w:cs="Garamond" w:ascii="Garamond" w:hAnsi="Garamond"/>
                            </w:rPr>
                            <w:instrText> PAGE </w:instrText>
                          </w:r>
                          <w:r>
                            <w:rPr>
                              <w:rStyle w:val="Style16"/>
                              <w:sz w:val="22"/>
                              <w:szCs w:val="22"/>
                              <w:rFonts w:cs="Garamond" w:ascii="Garamond" w:hAnsi="Garamond"/>
                            </w:rPr>
                            <w:fldChar w:fldCharType="separate"/>
                          </w:r>
                          <w:r>
                            <w:rPr>
                              <w:rStyle w:val="Style16"/>
                              <w:sz w:val="22"/>
                              <w:szCs w:val="22"/>
                              <w:rFonts w:cs="Garamond" w:ascii="Garamond" w:hAnsi="Garamond"/>
                            </w:rPr>
                            <w:t>127</w:t>
                          </w:r>
                          <w:r>
                            <w:rPr>
                              <w:rStyle w:val="Style16"/>
                              <w:sz w:val="22"/>
                              <w:szCs w:val="22"/>
                              <w:rFonts w:cs="Garamond" w:ascii="Garamond" w:hAnsi="Garamond"/>
                            </w:rPr>
                            <w:fldChar w:fldCharType="end"/>
                          </w:r>
                        </w:p>
                      </w:txbxContent>
                    </wps:txbx>
                    <wps:bodyPr anchor="t" lIns="0" tIns="0" rIns="0" bIns="0">
                      <a:noAutofit/>
                    </wps:bodyPr>
                  </wps:wsp>
                </a:graphicData>
              </a:graphic>
            </wp:anchor>
          </w:drawing>
        </mc:Choice>
        <mc:Fallback>
          <w:pict>
            <v:rect fillcolor="#FFFFFF" style="position:absolute;rotation:0;width:21.05pt;height:12.8pt;mso-wrap-distance-left:0pt;mso-wrap-distance-right:0pt;mso-wrap-distance-top:0pt;mso-wrap-distance-bottom:0pt;margin-top:0.05pt;mso-position-vertical-relative:text;margin-left:209.15pt;mso-position-horizontal:center;mso-position-horizontal-relative:margin">
              <v:fill opacity="0f"/>
              <v:textbox inset="0in,0in,0in,0in">
                <w:txbxContent>
                  <w:p>
                    <w:pPr>
                      <w:pStyle w:val="Style28"/>
                      <w:rPr>
                        <w:rStyle w:val="Style16"/>
                        <w:rFonts w:ascii="Garamond" w:hAnsi="Garamond" w:cs="Garamond"/>
                        <w:sz w:val="22"/>
                        <w:szCs w:val="22"/>
                      </w:rPr>
                    </w:pPr>
                    <w:r>
                      <w:rPr>
                        <w:rStyle w:val="Style16"/>
                        <w:rFonts w:cs="Garamond" w:ascii="Garamond" w:hAnsi="Garamond"/>
                        <w:sz w:val="22"/>
                        <w:szCs w:val="22"/>
                      </w:rPr>
                      <w:fldChar w:fldCharType="begin"/>
                    </w:r>
                    <w:r>
                      <w:rPr>
                        <w:rStyle w:val="Style16"/>
                        <w:sz w:val="22"/>
                        <w:szCs w:val="22"/>
                        <w:rFonts w:cs="Garamond" w:ascii="Garamond" w:hAnsi="Garamond"/>
                      </w:rPr>
                      <w:instrText> PAGE </w:instrText>
                    </w:r>
                    <w:r>
                      <w:rPr>
                        <w:rStyle w:val="Style16"/>
                        <w:sz w:val="22"/>
                        <w:szCs w:val="22"/>
                        <w:rFonts w:cs="Garamond" w:ascii="Garamond" w:hAnsi="Garamond"/>
                      </w:rPr>
                      <w:fldChar w:fldCharType="separate"/>
                    </w:r>
                    <w:r>
                      <w:rPr>
                        <w:rStyle w:val="Style16"/>
                        <w:sz w:val="22"/>
                        <w:szCs w:val="22"/>
                        <w:rFonts w:cs="Garamond" w:ascii="Garamond" w:hAnsi="Garamond"/>
                      </w:rPr>
                      <w:t>127</w:t>
                    </w:r>
                    <w:r>
                      <w:rPr>
                        <w:rStyle w:val="Style16"/>
                        <w:sz w:val="22"/>
                        <w:szCs w:val="22"/>
                        <w:rFonts w:cs="Garamond" w:ascii="Garamond" w:hAnsi="Garamond"/>
                      </w:rPr>
                      <w:fldChar w:fldCharType="end"/>
                    </w:r>
                  </w:p>
                </w:txbxContent>
              </v:textbox>
              <w10:wrap type="square" side="largest"/>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8"/>
      <w:rPr>
        <w:rFonts w:ascii="Garamond" w:hAnsi="Garamond" w:cs="Garamond"/>
        <w:sz w:val="22"/>
        <w:szCs w:val="22"/>
      </w:rPr>
    </w:pPr>
    <w:r>
      <w:rPr>
        <w:rFonts w:cs="Garamond" w:ascii="Garamond" w:hAnsi="Garamond"/>
        <w:sz w:val="22"/>
        <w:szCs w:val="22"/>
      </w:rPr>
    </w:r>
    <w:r>
      <mc:AlternateContent>
        <mc:Choice Requires="wps">
          <w:drawing>
            <wp:anchor behindDoc="0" distT="0" distB="0" distL="0" distR="0" simplePos="0" locked="0" layoutInCell="0" allowOverlap="1" relativeHeight="22">
              <wp:simplePos x="0" y="0"/>
              <wp:positionH relativeFrom="margin">
                <wp:align>center</wp:align>
              </wp:positionH>
              <wp:positionV relativeFrom="paragraph">
                <wp:posOffset>635</wp:posOffset>
              </wp:positionV>
              <wp:extent cx="267335" cy="162560"/>
              <wp:effectExtent l="0" t="0" r="0" b="0"/>
              <wp:wrapSquare wrapText="largest"/>
              <wp:docPr id="9" name="Врезка3"/>
              <a:graphic xmlns:a="http://schemas.openxmlformats.org/drawingml/2006/main">
                <a:graphicData uri="http://schemas.microsoft.com/office/word/2010/wordprocessingShape">
                  <wps:wsp>
                    <wps:cNvSpPr txBox="1"/>
                    <wps:spPr>
                      <a:xfrm>
                        <a:off x="0" y="0"/>
                        <a:ext cx="267335" cy="162560"/>
                      </a:xfrm>
                      <a:prstGeom prst="rect"/>
                      <a:solidFill>
                        <a:srgbClr val="FFFFFF">
                          <a:alpha val="0"/>
                        </a:srgbClr>
                      </a:solidFill>
                    </wps:spPr>
                    <wps:txbx>
                      <w:txbxContent>
                        <w:p>
                          <w:pPr>
                            <w:pStyle w:val="Style28"/>
                            <w:rPr/>
                          </w:pPr>
                          <w:r>
                            <w:rPr>
                              <w:rStyle w:val="Style16"/>
                              <w:rFonts w:cs="Garamond" w:ascii="Garamond" w:hAnsi="Garamond"/>
                              <w:sz w:val="22"/>
                              <w:szCs w:val="22"/>
                            </w:rPr>
                            <w:fldChar w:fldCharType="begin"/>
                          </w:r>
                          <w:r>
                            <w:rPr>
                              <w:rStyle w:val="Style16"/>
                              <w:sz w:val="22"/>
                              <w:szCs w:val="22"/>
                              <w:rFonts w:cs="Garamond" w:ascii="Garamond" w:hAnsi="Garamond"/>
                            </w:rPr>
                            <w:instrText> PAGE </w:instrText>
                          </w:r>
                          <w:r>
                            <w:rPr>
                              <w:rStyle w:val="Style16"/>
                              <w:sz w:val="22"/>
                              <w:szCs w:val="22"/>
                              <w:rFonts w:cs="Garamond" w:ascii="Garamond" w:hAnsi="Garamond"/>
                            </w:rPr>
                            <w:fldChar w:fldCharType="separate"/>
                          </w:r>
                          <w:r>
                            <w:rPr>
                              <w:rStyle w:val="Style16"/>
                              <w:sz w:val="22"/>
                              <w:szCs w:val="22"/>
                              <w:rFonts w:cs="Garamond" w:ascii="Garamond" w:hAnsi="Garamond"/>
                            </w:rPr>
                            <w:t>140</w:t>
                          </w:r>
                          <w:r>
                            <w:rPr>
                              <w:rStyle w:val="Style16"/>
                              <w:sz w:val="22"/>
                              <w:szCs w:val="22"/>
                              <w:rFonts w:cs="Garamond" w:ascii="Garamond" w:hAnsi="Garamond"/>
                            </w:rPr>
                            <w:fldChar w:fldCharType="end"/>
                          </w:r>
                        </w:p>
                      </w:txbxContent>
                    </wps:txbx>
                    <wps:bodyPr anchor="t" lIns="0" tIns="0" rIns="0" bIns="0">
                      <a:noAutofit/>
                    </wps:bodyPr>
                  </wps:wsp>
                </a:graphicData>
              </a:graphic>
            </wp:anchor>
          </w:drawing>
        </mc:Choice>
        <mc:Fallback>
          <w:pict>
            <v:rect fillcolor="#FFFFFF" style="position:absolute;rotation:0;width:21.05pt;height:12.8pt;mso-wrap-distance-left:0pt;mso-wrap-distance-right:0pt;mso-wrap-distance-top:0pt;mso-wrap-distance-bottom:0pt;margin-top:0.05pt;mso-position-vertical-relative:text;margin-left:209.15pt;mso-position-horizontal:center;mso-position-horizontal-relative:margin">
              <v:fill opacity="0f"/>
              <v:textbox inset="0in,0in,0in,0in">
                <w:txbxContent>
                  <w:p>
                    <w:pPr>
                      <w:pStyle w:val="Style28"/>
                      <w:rPr/>
                    </w:pPr>
                    <w:r>
                      <w:rPr>
                        <w:rStyle w:val="Style16"/>
                        <w:rFonts w:cs="Garamond" w:ascii="Garamond" w:hAnsi="Garamond"/>
                        <w:sz w:val="22"/>
                        <w:szCs w:val="22"/>
                      </w:rPr>
                      <w:fldChar w:fldCharType="begin"/>
                    </w:r>
                    <w:r>
                      <w:rPr>
                        <w:rStyle w:val="Style16"/>
                        <w:sz w:val="22"/>
                        <w:szCs w:val="22"/>
                        <w:rFonts w:cs="Garamond" w:ascii="Garamond" w:hAnsi="Garamond"/>
                      </w:rPr>
                      <w:instrText> PAGE </w:instrText>
                    </w:r>
                    <w:r>
                      <w:rPr>
                        <w:rStyle w:val="Style16"/>
                        <w:sz w:val="22"/>
                        <w:szCs w:val="22"/>
                        <w:rFonts w:cs="Garamond" w:ascii="Garamond" w:hAnsi="Garamond"/>
                      </w:rPr>
                      <w:fldChar w:fldCharType="separate"/>
                    </w:r>
                    <w:r>
                      <w:rPr>
                        <w:rStyle w:val="Style16"/>
                        <w:sz w:val="22"/>
                        <w:szCs w:val="22"/>
                        <w:rFonts w:cs="Garamond" w:ascii="Garamond" w:hAnsi="Garamond"/>
                      </w:rPr>
                      <w:t>140</w:t>
                    </w:r>
                    <w:r>
                      <w:rPr>
                        <w:rStyle w:val="Style16"/>
                        <w:sz w:val="22"/>
                        <w:szCs w:val="22"/>
                        <w:rFonts w:cs="Garamond" w:ascii="Garamond" w:hAnsi="Garamond"/>
                      </w:rPr>
                      <w:fldChar w:fldCharType="end"/>
                    </w:r>
                  </w:p>
                </w:txbxContent>
              </v:textbox>
              <w10:wrap type="square" side="largest"/>
            </v:rect>
          </w:pict>
        </mc:Fallback>
      </mc:AlternateContent>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Normal"/>
        <w:ind w:end="-31" w:hanging="0"/>
        <w:jc w:val="both"/>
        <w:rPr/>
      </w:pPr>
      <w:r>
        <w:rPr>
          <w:rStyle w:val="Style13"/>
        </w:rPr>
        <w:footnoteRef/>
      </w:r>
      <w:r>
        <w:rPr>
          <w:rFonts w:eastAsia="MingLiU;細明體" w:cs="Garamond" w:ascii="Garamond" w:hAnsi="Garamond"/>
        </w:rPr>
        <w:t xml:space="preserve"> </w:t>
      </w:r>
      <w:r>
        <w:rPr>
          <w:rFonts w:eastAsia="MingLiU;細明體" w:cs="Garamond" w:ascii="Garamond" w:hAnsi="Garamond"/>
        </w:rPr>
        <w:t>Динара Викторовна ДУБРОВСКАЯ, кандидат исторических наук, старший научный сотрудник Института востоковедения РАН, Москва; distan@gmail.com</w:t>
      </w:r>
    </w:p>
    <w:p>
      <w:pPr>
        <w:pStyle w:val="Normal"/>
        <w:ind w:end="-31" w:hanging="0"/>
        <w:jc w:val="both"/>
        <w:rPr/>
      </w:pPr>
      <w:r>
        <w:rPr>
          <w:rFonts w:eastAsia="Garamond" w:cs="Garamond" w:ascii="Garamond" w:hAnsi="Garamond"/>
        </w:rPr>
        <w:t xml:space="preserve">   </w:t>
      </w:r>
      <w:r>
        <w:rPr>
          <w:rFonts w:eastAsia="MingLiU;細明體" w:cs="Garamond" w:ascii="Garamond" w:hAnsi="Garamond"/>
          <w:lang w:val="en-US"/>
        </w:rPr>
        <w:t xml:space="preserve">Dinara V. </w:t>
      </w:r>
      <w:r>
        <w:rPr>
          <w:rFonts w:eastAsia="MingLiU;細明體" w:cs="Garamond" w:ascii="Garamond" w:hAnsi="Garamond"/>
          <w:caps/>
          <w:lang w:val="en-US"/>
        </w:rPr>
        <w:t>Dubrovskaya</w:t>
      </w:r>
      <w:r>
        <w:rPr>
          <w:rFonts w:eastAsia="MingLiU;細明體" w:cs="Garamond" w:ascii="Garamond" w:hAnsi="Garamond"/>
          <w:lang w:val="en-US"/>
        </w:rPr>
        <w:t>, PhD (History), Senior Research Fellow, Institute of Oriental Studies RAS, Moscow; distan@gmail.com</w:t>
      </w:r>
    </w:p>
    <w:p>
      <w:pPr>
        <w:pStyle w:val="Normal"/>
        <w:ind w:end="-31" w:hanging="0"/>
        <w:jc w:val="both"/>
        <w:rPr/>
      </w:pPr>
      <w:r>
        <w:rPr>
          <w:rFonts w:eastAsia="Garamond" w:cs="Garamond" w:ascii="Garamond" w:hAnsi="Garamond"/>
        </w:rPr>
        <w:t xml:space="preserve">   </w:t>
      </w:r>
      <w:r>
        <w:rPr>
          <w:rFonts w:eastAsia="MingLiU;細明體" w:cs="Garamond" w:ascii="Garamond" w:hAnsi="Garamond"/>
          <w:lang w:val="en-US"/>
        </w:rPr>
        <w:t>ORCID ID: 0000-0001-9372-6553</w:t>
      </w:r>
    </w:p>
  </w:footnote>
  <w:footnote w:id="3">
    <w:p>
      <w:pPr>
        <w:pStyle w:val="Normal"/>
        <w:ind w:end="-31" w:hanging="0"/>
        <w:jc w:val="both"/>
        <w:rPr>
          <w:rFonts w:ascii="Garamond" w:hAnsi="Garamond" w:eastAsia="MingLiU;細明體" w:cs="Garamond"/>
        </w:rPr>
      </w:pPr>
      <w:r>
        <w:rPr>
          <w:rStyle w:val="Style13"/>
        </w:rPr>
        <w:footnoteRef/>
      </w:r>
      <w:r>
        <w:rPr>
          <w:rFonts w:eastAsia="MingLiU;細明體" w:cs="Garamond" w:ascii="Garamond" w:hAnsi="Garamond"/>
          <w:lang w:val="en-US"/>
        </w:rPr>
        <w:t xml:space="preserve"> </w:t>
      </w:r>
      <w:r>
        <w:rPr>
          <w:rFonts w:eastAsia="MingLiU;細明體" w:cs="Garamond" w:ascii="Garamond" w:hAnsi="Garamond"/>
          <w:lang w:val="en-US"/>
        </w:rPr>
        <w:t xml:space="preserve">Vossilla F. Artistic Diplomacy during and after the Rites Controversy. </w:t>
      </w:r>
      <w:r>
        <w:rPr>
          <w:rFonts w:eastAsia="MingLiU;細明體" w:cs="Garamond" w:ascii="Garamond" w:hAnsi="Garamond"/>
          <w:i/>
          <w:iCs/>
          <w:lang w:val="en-US"/>
        </w:rPr>
        <w:t>Academia</w:t>
      </w:r>
      <w:r>
        <w:rPr>
          <w:rFonts w:eastAsia="MingLiU;細明體" w:cs="Garamond" w:ascii="Garamond" w:hAnsi="Garamond"/>
          <w:i/>
          <w:iCs/>
        </w:rPr>
        <w:t>.</w:t>
      </w:r>
      <w:r>
        <w:rPr>
          <w:rFonts w:eastAsia="MingLiU;細明體" w:cs="Garamond" w:ascii="Garamond" w:hAnsi="Garamond"/>
          <w:i/>
          <w:iCs/>
          <w:lang w:val="en-US"/>
        </w:rPr>
        <w:t>edu</w:t>
      </w:r>
      <w:r>
        <w:rPr>
          <w:rFonts w:eastAsia="MingLiU;細明體" w:cs="Garamond" w:ascii="Garamond" w:hAnsi="Garamond"/>
        </w:rPr>
        <w:t xml:space="preserve">. </w:t>
      </w:r>
      <w:r>
        <w:rPr>
          <w:rFonts w:eastAsia="MingLiU;細明體" w:cs="Garamond" w:ascii="Garamond" w:hAnsi="Garamond"/>
          <w:lang w:val="en-US"/>
        </w:rPr>
        <w:t>URL</w:t>
      </w:r>
      <w:r>
        <w:rPr>
          <w:rFonts w:eastAsia="MingLiU;細明體" w:cs="Garamond" w:ascii="Garamond" w:hAnsi="Garamond"/>
        </w:rPr>
        <w:t xml:space="preserve">: </w:t>
      </w:r>
      <w:r>
        <w:rPr>
          <w:rFonts w:eastAsia="MingLiU;細明體" w:cs="Garamond" w:ascii="Garamond" w:hAnsi="Garamond"/>
          <w:lang w:val="en-US"/>
        </w:rPr>
        <w:t>https</w:t>
      </w:r>
      <w:r>
        <w:rPr>
          <w:rFonts w:eastAsia="MingLiU;細明體" w:cs="Garamond" w:ascii="Garamond" w:hAnsi="Garamond"/>
        </w:rPr>
        <w:t>://</w:t>
      </w:r>
      <w:r>
        <w:rPr>
          <w:rFonts w:eastAsia="MingLiU;細明體" w:cs="Garamond" w:ascii="Garamond" w:hAnsi="Garamond"/>
          <w:lang w:val="en-US"/>
        </w:rPr>
        <w:t>www</w:t>
      </w:r>
      <w:r>
        <w:rPr>
          <w:rFonts w:eastAsia="MingLiU;細明體" w:cs="Garamond" w:ascii="Garamond" w:hAnsi="Garamond"/>
        </w:rPr>
        <w:t>.</w:t>
      </w:r>
      <w:r>
        <w:rPr>
          <w:rFonts w:eastAsia="MingLiU;細明體" w:cs="Garamond" w:ascii="Garamond" w:hAnsi="Garamond"/>
          <w:lang w:val="en-US"/>
        </w:rPr>
        <w:t>academia</w:t>
      </w:r>
      <w:r>
        <w:rPr>
          <w:rFonts w:eastAsia="MingLiU;細明體" w:cs="Garamond" w:ascii="Garamond" w:hAnsi="Garamond"/>
        </w:rPr>
        <w:t>.</w:t>
      </w:r>
      <w:r>
        <w:rPr>
          <w:rFonts w:eastAsia="MingLiU;細明體" w:cs="Garamond" w:ascii="Garamond" w:hAnsi="Garamond"/>
          <w:lang w:val="en-US"/>
        </w:rPr>
        <w:t>edu</w:t>
      </w:r>
      <w:r>
        <w:rPr>
          <w:rFonts w:eastAsia="MingLiU;細明體" w:cs="Garamond" w:ascii="Garamond" w:hAnsi="Garamond"/>
        </w:rPr>
        <w:t>/36777636/</w:t>
      </w:r>
      <w:r>
        <w:rPr>
          <w:rFonts w:eastAsia="MingLiU;細明體" w:cs="Garamond" w:ascii="Garamond" w:hAnsi="Garamond"/>
          <w:lang w:val="en-US"/>
        </w:rPr>
        <w:t>Artistic</w:t>
      </w:r>
      <w:r>
        <w:rPr>
          <w:rFonts w:eastAsia="MingLiU;細明體" w:cs="Garamond" w:ascii="Garamond" w:hAnsi="Garamond"/>
        </w:rPr>
        <w:t>_</w:t>
      </w:r>
      <w:r>
        <w:rPr>
          <w:rFonts w:eastAsia="MingLiU;細明體" w:cs="Garamond" w:ascii="Garamond" w:hAnsi="Garamond"/>
          <w:lang w:val="en-US"/>
        </w:rPr>
        <w:t>diplomacy</w:t>
      </w:r>
      <w:r>
        <w:rPr>
          <w:rFonts w:eastAsia="MingLiU;細明體" w:cs="Garamond" w:ascii="Garamond" w:hAnsi="Garamond"/>
        </w:rPr>
        <w:t>_</w:t>
      </w:r>
      <w:r>
        <w:rPr>
          <w:rFonts w:eastAsia="MingLiU;細明體" w:cs="Garamond" w:ascii="Garamond" w:hAnsi="Garamond"/>
          <w:lang w:val="en-US"/>
        </w:rPr>
        <w:t>during</w:t>
      </w:r>
      <w:r>
        <w:rPr>
          <w:rFonts w:eastAsia="MingLiU;細明體" w:cs="Garamond" w:ascii="Garamond" w:hAnsi="Garamond"/>
        </w:rPr>
        <w:t>_</w:t>
      </w:r>
      <w:r>
        <w:rPr>
          <w:rFonts w:eastAsia="MingLiU;細明體" w:cs="Garamond" w:ascii="Garamond" w:hAnsi="Garamond"/>
          <w:lang w:val="en-US"/>
        </w:rPr>
        <w:t>and</w:t>
      </w:r>
      <w:r>
        <w:rPr>
          <w:rFonts w:eastAsia="MingLiU;細明體" w:cs="Garamond" w:ascii="Garamond" w:hAnsi="Garamond"/>
        </w:rPr>
        <w:t>_</w:t>
      </w:r>
      <w:r>
        <w:rPr>
          <w:rFonts w:eastAsia="MingLiU;細明體" w:cs="Garamond" w:ascii="Garamond" w:hAnsi="Garamond"/>
          <w:lang w:val="en-US"/>
        </w:rPr>
        <w:t>after</w:t>
      </w:r>
      <w:r>
        <w:rPr>
          <w:rFonts w:eastAsia="MingLiU;細明體" w:cs="Garamond" w:ascii="Garamond" w:hAnsi="Garamond"/>
        </w:rPr>
        <w:t>_</w:t>
      </w:r>
      <w:r>
        <w:rPr>
          <w:rFonts w:eastAsia="MingLiU;細明體" w:cs="Garamond" w:ascii="Garamond" w:hAnsi="Garamond"/>
          <w:lang w:val="en-US"/>
        </w:rPr>
        <w:t>the</w:t>
      </w:r>
      <w:r>
        <w:rPr>
          <w:rFonts w:eastAsia="MingLiU;細明體" w:cs="Garamond" w:ascii="Garamond" w:hAnsi="Garamond"/>
        </w:rPr>
        <w:t>_</w:t>
      </w:r>
      <w:r>
        <w:rPr>
          <w:rFonts w:eastAsia="MingLiU;細明體" w:cs="Garamond" w:ascii="Garamond" w:hAnsi="Garamond"/>
          <w:lang w:val="en-US"/>
        </w:rPr>
        <w:t>Rites</w:t>
      </w:r>
      <w:r>
        <w:rPr>
          <w:rFonts w:eastAsia="MingLiU;細明體" w:cs="Garamond" w:ascii="Garamond" w:hAnsi="Garamond"/>
        </w:rPr>
        <w:t>_</w:t>
      </w:r>
      <w:r>
        <w:rPr>
          <w:rFonts w:eastAsia="MingLiU;細明體" w:cs="Garamond" w:ascii="Garamond" w:hAnsi="Garamond"/>
          <w:lang w:val="en-US"/>
        </w:rPr>
        <w:t>Controversy</w:t>
      </w:r>
      <w:r>
        <w:rPr>
          <w:rFonts w:eastAsia="MingLiU;細明體" w:cs="Garamond" w:ascii="Garamond" w:hAnsi="Garamond"/>
        </w:rPr>
        <w:t>_</w:t>
      </w:r>
      <w:r>
        <w:rPr>
          <w:rFonts w:eastAsia="MingLiU;細明體" w:cs="Garamond" w:ascii="Garamond" w:hAnsi="Garamond"/>
          <w:lang w:val="en-US"/>
        </w:rPr>
        <w:t>in</w:t>
      </w:r>
      <w:r>
        <w:rPr>
          <w:rFonts w:eastAsia="MingLiU;細明體" w:cs="Garamond" w:ascii="Garamond" w:hAnsi="Garamond"/>
        </w:rPr>
        <w:t>_</w:t>
      </w:r>
      <w:r>
        <w:rPr>
          <w:rFonts w:eastAsia="MingLiU;細明體" w:cs="Garamond" w:ascii="Garamond" w:hAnsi="Garamond"/>
          <w:lang w:val="en-US"/>
        </w:rPr>
        <w:t>Ferdinando</w:t>
      </w:r>
      <w:r>
        <w:rPr>
          <w:rFonts w:eastAsia="MingLiU;細明體" w:cs="Garamond" w:ascii="Garamond" w:hAnsi="Garamond"/>
        </w:rPr>
        <w:t>_</w:t>
      </w:r>
      <w:r>
        <w:rPr>
          <w:rFonts w:eastAsia="MingLiU;細明體" w:cs="Garamond" w:ascii="Garamond" w:hAnsi="Garamond"/>
          <w:lang w:val="en-US"/>
        </w:rPr>
        <w:t>Moggi</w:t>
      </w:r>
      <w:r>
        <w:rPr>
          <w:rFonts w:eastAsia="MingLiU;細明體" w:cs="Garamond" w:ascii="Garamond" w:hAnsi="Garamond"/>
        </w:rPr>
        <w:t>_1684_1761_</w:t>
      </w:r>
      <w:r>
        <w:rPr>
          <w:rFonts w:eastAsia="MingLiU;細明體" w:cs="Garamond" w:ascii="Garamond" w:hAnsi="Garamond"/>
          <w:lang w:val="en-US"/>
        </w:rPr>
        <w:t>architetto</w:t>
      </w:r>
      <w:r>
        <w:rPr>
          <w:rFonts w:eastAsia="MingLiU;細明體" w:cs="Garamond" w:ascii="Garamond" w:hAnsi="Garamond"/>
        </w:rPr>
        <w:t>_</w:t>
      </w:r>
      <w:r>
        <w:rPr>
          <w:rFonts w:eastAsia="MingLiU;細明體" w:cs="Garamond" w:ascii="Garamond" w:hAnsi="Garamond"/>
          <w:lang w:val="en-US"/>
        </w:rPr>
        <w:t>e</w:t>
      </w:r>
      <w:r>
        <w:rPr>
          <w:rFonts w:eastAsia="MingLiU;細明體" w:cs="Garamond" w:ascii="Garamond" w:hAnsi="Garamond"/>
        </w:rPr>
        <w:t>_</w:t>
      </w:r>
      <w:r>
        <w:rPr>
          <w:rFonts w:eastAsia="MingLiU;細明體" w:cs="Garamond" w:ascii="Garamond" w:hAnsi="Garamond"/>
          <w:lang w:val="en-US"/>
        </w:rPr>
        <w:t>gesuita</w:t>
      </w:r>
      <w:r>
        <w:rPr>
          <w:rFonts w:eastAsia="MingLiU;細明體" w:cs="Garamond" w:ascii="Garamond" w:hAnsi="Garamond"/>
        </w:rPr>
        <w:t>_</w:t>
      </w:r>
      <w:r>
        <w:rPr>
          <w:rFonts w:eastAsia="MingLiU;細明體" w:cs="Garamond" w:ascii="Garamond" w:hAnsi="Garamond"/>
          <w:lang w:val="en-US"/>
        </w:rPr>
        <w:t>fiorentino</w:t>
      </w:r>
      <w:r>
        <w:rPr>
          <w:rFonts w:eastAsia="MingLiU;細明體" w:cs="Garamond" w:ascii="Garamond" w:hAnsi="Garamond"/>
        </w:rPr>
        <w:t>_</w:t>
      </w:r>
      <w:r>
        <w:rPr>
          <w:rFonts w:eastAsia="MingLiU;細明體" w:cs="Garamond" w:ascii="Garamond" w:hAnsi="Garamond"/>
          <w:lang w:val="en-US"/>
        </w:rPr>
        <w:t>in</w:t>
      </w:r>
      <w:r>
        <w:rPr>
          <w:rFonts w:eastAsia="MingLiU;細明體" w:cs="Garamond" w:ascii="Garamond" w:hAnsi="Garamond"/>
        </w:rPr>
        <w:t>_</w:t>
      </w:r>
      <w:r>
        <w:rPr>
          <w:rFonts w:eastAsia="MingLiU;細明體" w:cs="Garamond" w:ascii="Garamond" w:hAnsi="Garamond"/>
          <w:lang w:val="en-US"/>
        </w:rPr>
        <w:t>Cina</w:t>
      </w:r>
      <w:r>
        <w:rPr>
          <w:rFonts w:eastAsia="MingLiU;細明體" w:cs="Garamond" w:ascii="Garamond" w:hAnsi="Garamond"/>
        </w:rPr>
        <w:t xml:space="preserve"> (дата обращения 06.11.2020).</w:t>
      </w:r>
      <w:r>
        <w:rPr>
          <w:rFonts w:eastAsia="MingLiU;細明體" w:cs="Garamond" w:ascii="Garamond" w:hAnsi="Garamond"/>
          <w:b/>
          <w:bCs/>
        </w:rPr>
        <w:t xml:space="preserve"> </w:t>
      </w:r>
    </w:p>
  </w:footnote>
  <w:footnote w:id="4">
    <w:p>
      <w:pPr>
        <w:pStyle w:val="Style29"/>
        <w:ind w:end="-31" w:hanging="0"/>
        <w:jc w:val="both"/>
        <w:rPr>
          <w:rFonts w:ascii="Garamond" w:hAnsi="Garamond" w:eastAsia="MingLiU;細明體" w:cs="Garamond"/>
          <w:sz w:val="20"/>
          <w:szCs w:val="20"/>
          <w:lang w:val="en-US"/>
        </w:rPr>
      </w:pPr>
      <w:r>
        <w:rPr>
          <w:rStyle w:val="Style13"/>
        </w:rPr>
        <w:footnoteRef/>
      </w:r>
      <w:r>
        <w:rPr>
          <w:rFonts w:eastAsia="MingLiU;細明體" w:cs="Garamond" w:ascii="Garamond" w:hAnsi="Garamond"/>
          <w:sz w:val="20"/>
          <w:szCs w:val="20"/>
          <w:lang w:val="en-US"/>
        </w:rPr>
        <w:t xml:space="preserve"> </w:t>
      </w:r>
      <w:r>
        <w:rPr>
          <w:rFonts w:eastAsia="MingLiU;細明體" w:cs="Garamond" w:ascii="Garamond" w:hAnsi="Garamond"/>
          <w:sz w:val="20"/>
          <w:szCs w:val="20"/>
          <w:lang w:eastAsia="en-US"/>
        </w:rPr>
        <w:t>См</w:t>
      </w:r>
      <w:r>
        <w:rPr>
          <w:rFonts w:eastAsia="MingLiU;細明體" w:cs="Garamond" w:ascii="Garamond" w:hAnsi="Garamond"/>
          <w:sz w:val="20"/>
          <w:szCs w:val="20"/>
          <w:lang w:val="en-US" w:eastAsia="en-US"/>
        </w:rPr>
        <w:t xml:space="preserve">. </w:t>
      </w:r>
      <w:r>
        <w:rPr>
          <w:rFonts w:eastAsia="MingLiU;細明體" w:cs="Garamond" w:ascii="Garamond" w:hAnsi="Garamond"/>
          <w:sz w:val="20"/>
          <w:szCs w:val="20"/>
          <w:lang w:eastAsia="en-US"/>
        </w:rPr>
        <w:t>также</w:t>
      </w:r>
      <w:r>
        <w:rPr>
          <w:rFonts w:eastAsia="MingLiU;細明體" w:cs="Garamond" w:ascii="Garamond" w:hAnsi="Garamond"/>
          <w:sz w:val="20"/>
          <w:szCs w:val="20"/>
          <w:lang w:val="en-US"/>
        </w:rPr>
        <w:t>:</w:t>
      </w:r>
      <w:r>
        <w:rPr>
          <w:rFonts w:eastAsia="MingLiU;細明體" w:cs="Garamond" w:ascii="Garamond" w:hAnsi="Garamond"/>
          <w:iCs/>
          <w:sz w:val="20"/>
          <w:szCs w:val="20"/>
          <w:lang w:val="en-US"/>
        </w:rPr>
        <w:t xml:space="preserve"> [</w:t>
      </w:r>
      <w:r>
        <w:rPr>
          <w:rFonts w:eastAsia="MingLiU;細明體" w:cs="Garamond" w:ascii="Garamond" w:hAnsi="Garamond"/>
          <w:sz w:val="20"/>
          <w:szCs w:val="20"/>
          <w:lang w:val="en-US"/>
        </w:rPr>
        <w:t xml:space="preserve">Arnold, </w:t>
      </w:r>
      <w:r>
        <w:rPr>
          <w:rFonts w:eastAsia="MingLiU;細明體" w:cs="Garamond" w:ascii="Garamond" w:hAnsi="Garamond"/>
          <w:iCs/>
          <w:sz w:val="20"/>
          <w:szCs w:val="20"/>
          <w:lang w:val="en-US"/>
        </w:rPr>
        <w:t>1999,</w:t>
      </w:r>
      <w:r>
        <w:rPr>
          <w:rFonts w:eastAsia="MingLiU;細明體" w:cs="Garamond" w:ascii="Garamond" w:hAnsi="Garamond"/>
          <w:i/>
          <w:iCs/>
          <w:sz w:val="20"/>
          <w:szCs w:val="20"/>
          <w:lang w:val="en-US"/>
        </w:rPr>
        <w:t xml:space="preserve"> </w:t>
      </w:r>
      <w:r>
        <w:rPr>
          <w:rFonts w:eastAsia="MingLiU;細明體" w:cs="Garamond" w:ascii="Garamond" w:hAnsi="Garamond"/>
          <w:iCs/>
          <w:sz w:val="20"/>
          <w:szCs w:val="20"/>
          <w:lang w:val="en-US"/>
        </w:rPr>
        <w:t>p. 35].</w:t>
      </w:r>
    </w:p>
  </w:footnote>
  <w:footnote w:id="5">
    <w:p>
      <w:pPr>
        <w:pStyle w:val="Style29"/>
        <w:ind w:end="-31" w:hanging="0"/>
        <w:jc w:val="both"/>
        <w:rPr>
          <w:rFonts w:ascii="Garamond" w:hAnsi="Garamond" w:cs="Garamond"/>
          <w:sz w:val="20"/>
          <w:szCs w:val="20"/>
        </w:rPr>
      </w:pPr>
      <w:r>
        <w:rPr>
          <w:rStyle w:val="Style13"/>
        </w:rPr>
        <w:footnoteRef/>
      </w:r>
      <w:r>
        <w:rPr>
          <w:rFonts w:cs="Garamond" w:ascii="Garamond" w:hAnsi="Garamond"/>
          <w:sz w:val="20"/>
          <w:szCs w:val="20"/>
          <w:lang w:val="en-US"/>
        </w:rPr>
        <w:t xml:space="preserve"> </w:t>
      </w:r>
      <w:r>
        <w:rPr>
          <w:rFonts w:eastAsia="MingLiU;細明體" w:cs="Garamond" w:ascii="Garamond" w:hAnsi="Garamond"/>
          <w:bCs/>
          <w:i/>
          <w:iCs/>
          <w:sz w:val="20"/>
          <w:szCs w:val="20"/>
          <w:lang w:val="en-US"/>
        </w:rPr>
        <w:t>Rome Reborn: The Vatican Library &amp; Renaissance Culture. How Rome went to China.</w:t>
      </w:r>
      <w:r>
        <w:rPr>
          <w:rFonts w:eastAsia="MingLiU;細明體" w:cs="Garamond" w:ascii="Garamond" w:hAnsi="Garamond"/>
          <w:bCs/>
          <w:sz w:val="20"/>
          <w:szCs w:val="20"/>
          <w:lang w:val="en-US"/>
        </w:rPr>
        <w:t xml:space="preserve"> URL</w:t>
      </w:r>
      <w:r>
        <w:rPr>
          <w:rFonts w:eastAsia="MingLiU;細明體" w:cs="Garamond" w:ascii="Garamond" w:hAnsi="Garamond"/>
          <w:bCs/>
          <w:sz w:val="20"/>
          <w:szCs w:val="20"/>
        </w:rPr>
        <w:t>:</w:t>
      </w:r>
      <w:r>
        <w:rPr>
          <w:rFonts w:eastAsia="MingLiU;細明體" w:cs="Garamond" w:ascii="Garamond" w:hAnsi="Garamond"/>
          <w:bCs/>
          <w:sz w:val="20"/>
          <w:szCs w:val="20"/>
          <w:lang w:val="en-US"/>
        </w:rPr>
        <w:t> </w:t>
      </w:r>
      <w:r>
        <w:rPr>
          <w:rFonts w:eastAsia="MingLiU;細明體" w:cs="Garamond" w:ascii="Garamond" w:hAnsi="Garamond"/>
          <w:bCs/>
          <w:sz w:val="20"/>
          <w:szCs w:val="20"/>
        </w:rPr>
        <w:t>https://www.loc.gov/exhibits/vatican/romechin.html (дата обращения 08.11.2020).</w:t>
      </w:r>
    </w:p>
  </w:footnote>
  <w:footnote w:id="6">
    <w:p>
      <w:pPr>
        <w:pStyle w:val="Style29"/>
        <w:ind w:end="-31" w:hanging="0"/>
        <w:jc w:val="both"/>
        <w:rPr/>
      </w:pPr>
      <w:r>
        <w:rPr>
          <w:rStyle w:val="Style13"/>
        </w:rPr>
        <w:footnoteRef/>
      </w:r>
      <w:r>
        <w:rPr>
          <w:rFonts w:eastAsia="MingLiU;細明體" w:cs="Garamond" w:ascii="Garamond" w:hAnsi="Garamond"/>
          <w:sz w:val="20"/>
          <w:szCs w:val="20"/>
          <w:lang w:val="en-US"/>
        </w:rPr>
        <w:t xml:space="preserve"> </w:t>
      </w:r>
      <w:r>
        <w:rPr>
          <w:rFonts w:eastAsia="MingLiU;細明體" w:cs="Garamond" w:ascii="Garamond" w:hAnsi="Garamond"/>
          <w:sz w:val="20"/>
          <w:szCs w:val="20"/>
          <w:lang w:val="en-US"/>
        </w:rPr>
        <w:t xml:space="preserve">Vossilla F. Artistic Diplomacy during and after the Rites Controversy. </w:t>
      </w:r>
      <w:r>
        <w:rPr>
          <w:rFonts w:eastAsia="MingLiU;細明體" w:cs="Garamond" w:ascii="Garamond" w:hAnsi="Garamond"/>
          <w:i/>
          <w:iCs/>
          <w:sz w:val="20"/>
          <w:szCs w:val="20"/>
          <w:lang w:val="en-US"/>
        </w:rPr>
        <w:t>Academia</w:t>
      </w:r>
      <w:r>
        <w:rPr>
          <w:rFonts w:eastAsia="MingLiU;細明體" w:cs="Garamond" w:ascii="Garamond" w:hAnsi="Garamond"/>
          <w:i/>
          <w:iCs/>
          <w:sz w:val="20"/>
          <w:szCs w:val="20"/>
        </w:rPr>
        <w:t>.</w:t>
      </w:r>
      <w:r>
        <w:rPr>
          <w:rFonts w:eastAsia="MingLiU;細明體" w:cs="Garamond" w:ascii="Garamond" w:hAnsi="Garamond"/>
          <w:i/>
          <w:iCs/>
          <w:sz w:val="20"/>
          <w:szCs w:val="20"/>
          <w:lang w:val="en-US"/>
        </w:rPr>
        <w:t>edu</w:t>
      </w:r>
      <w:r>
        <w:rPr>
          <w:rFonts w:eastAsia="MingLiU;細明體" w:cs="Garamond" w:ascii="Garamond" w:hAnsi="Garamond"/>
          <w:sz w:val="20"/>
          <w:szCs w:val="20"/>
        </w:rPr>
        <w:t xml:space="preserve">. </w:t>
      </w:r>
      <w:r>
        <w:rPr>
          <w:rFonts w:eastAsia="MingLiU;細明體" w:cs="Garamond" w:ascii="Garamond" w:hAnsi="Garamond"/>
          <w:sz w:val="20"/>
          <w:szCs w:val="20"/>
          <w:lang w:val="en-US"/>
        </w:rPr>
        <w:t>URL</w:t>
      </w:r>
      <w:r>
        <w:rPr>
          <w:rFonts w:eastAsia="MingLiU;細明體" w:cs="Garamond" w:ascii="Garamond" w:hAnsi="Garamond"/>
          <w:sz w:val="20"/>
          <w:szCs w:val="20"/>
        </w:rPr>
        <w:t xml:space="preserve">: </w:t>
      </w:r>
      <w:r>
        <w:rPr>
          <w:rFonts w:eastAsia="MingLiU;細明體" w:cs="Garamond" w:ascii="Garamond" w:hAnsi="Garamond"/>
          <w:sz w:val="20"/>
          <w:szCs w:val="20"/>
          <w:lang w:val="en-US"/>
        </w:rPr>
        <w:t>https</w:t>
      </w:r>
      <w:r>
        <w:rPr>
          <w:rFonts w:eastAsia="MingLiU;細明體" w:cs="Garamond" w:ascii="Garamond" w:hAnsi="Garamond"/>
          <w:sz w:val="20"/>
          <w:szCs w:val="20"/>
        </w:rPr>
        <w:t>://</w:t>
      </w:r>
      <w:r>
        <w:rPr>
          <w:rFonts w:eastAsia="MingLiU;細明體" w:cs="Garamond" w:ascii="Garamond" w:hAnsi="Garamond"/>
          <w:sz w:val="20"/>
          <w:szCs w:val="20"/>
          <w:lang w:val="en-US"/>
        </w:rPr>
        <w:t>www</w:t>
      </w:r>
      <w:r>
        <w:rPr>
          <w:rFonts w:eastAsia="MingLiU;細明體" w:cs="Garamond" w:ascii="Garamond" w:hAnsi="Garamond"/>
          <w:sz w:val="20"/>
          <w:szCs w:val="20"/>
        </w:rPr>
        <w:t>.</w:t>
      </w:r>
      <w:r>
        <w:rPr>
          <w:rFonts w:eastAsia="MingLiU;細明體" w:cs="Garamond" w:ascii="Garamond" w:hAnsi="Garamond"/>
          <w:sz w:val="20"/>
          <w:szCs w:val="20"/>
          <w:lang w:val="en-US"/>
        </w:rPr>
        <w:t>academia</w:t>
      </w:r>
      <w:r>
        <w:rPr>
          <w:rFonts w:eastAsia="MingLiU;細明體" w:cs="Garamond" w:ascii="Garamond" w:hAnsi="Garamond"/>
          <w:sz w:val="20"/>
          <w:szCs w:val="20"/>
        </w:rPr>
        <w:t>.</w:t>
      </w:r>
      <w:r>
        <w:rPr>
          <w:rFonts w:eastAsia="MingLiU;細明體" w:cs="Garamond" w:ascii="Garamond" w:hAnsi="Garamond"/>
          <w:sz w:val="20"/>
          <w:szCs w:val="20"/>
          <w:lang w:val="en-US"/>
        </w:rPr>
        <w:t>edu</w:t>
      </w:r>
      <w:r>
        <w:rPr>
          <w:rFonts w:eastAsia="MingLiU;細明體" w:cs="Garamond" w:ascii="Garamond" w:hAnsi="Garamond"/>
          <w:sz w:val="20"/>
          <w:szCs w:val="20"/>
        </w:rPr>
        <w:t>/36777636/</w:t>
      </w:r>
      <w:r>
        <w:rPr>
          <w:rFonts w:eastAsia="MingLiU;細明體" w:cs="Garamond" w:ascii="Garamond" w:hAnsi="Garamond"/>
          <w:sz w:val="20"/>
          <w:szCs w:val="20"/>
          <w:lang w:val="en-US"/>
        </w:rPr>
        <w:t>Artistic</w:t>
      </w:r>
      <w:r>
        <w:rPr>
          <w:rFonts w:eastAsia="MingLiU;細明體" w:cs="Garamond" w:ascii="Garamond" w:hAnsi="Garamond"/>
          <w:sz w:val="20"/>
          <w:szCs w:val="20"/>
        </w:rPr>
        <w:t>_</w:t>
      </w:r>
      <w:r>
        <w:rPr>
          <w:rFonts w:eastAsia="MingLiU;細明體" w:cs="Garamond" w:ascii="Garamond" w:hAnsi="Garamond"/>
          <w:sz w:val="20"/>
          <w:szCs w:val="20"/>
          <w:lang w:val="en-US"/>
        </w:rPr>
        <w:t>diplomacy</w:t>
      </w:r>
      <w:r>
        <w:rPr>
          <w:rFonts w:eastAsia="MingLiU;細明體" w:cs="Garamond" w:ascii="Garamond" w:hAnsi="Garamond"/>
          <w:sz w:val="20"/>
          <w:szCs w:val="20"/>
        </w:rPr>
        <w:t>_</w:t>
      </w:r>
      <w:r>
        <w:rPr>
          <w:rFonts w:eastAsia="MingLiU;細明體" w:cs="Garamond" w:ascii="Garamond" w:hAnsi="Garamond"/>
          <w:sz w:val="20"/>
          <w:szCs w:val="20"/>
          <w:lang w:val="en-US"/>
        </w:rPr>
        <w:t>during</w:t>
      </w:r>
      <w:r>
        <w:rPr>
          <w:rFonts w:eastAsia="MingLiU;細明體" w:cs="Garamond" w:ascii="Garamond" w:hAnsi="Garamond"/>
          <w:sz w:val="20"/>
          <w:szCs w:val="20"/>
        </w:rPr>
        <w:t>_</w:t>
      </w:r>
      <w:r>
        <w:rPr>
          <w:rFonts w:eastAsia="MingLiU;細明體" w:cs="Garamond" w:ascii="Garamond" w:hAnsi="Garamond"/>
          <w:sz w:val="20"/>
          <w:szCs w:val="20"/>
          <w:lang w:val="en-US"/>
        </w:rPr>
        <w:t>and</w:t>
      </w:r>
      <w:r>
        <w:rPr>
          <w:rFonts w:eastAsia="MingLiU;細明體" w:cs="Garamond" w:ascii="Garamond" w:hAnsi="Garamond"/>
          <w:sz w:val="20"/>
          <w:szCs w:val="20"/>
        </w:rPr>
        <w:t>_</w:t>
      </w:r>
      <w:r>
        <w:rPr>
          <w:rFonts w:eastAsia="MingLiU;細明體" w:cs="Garamond" w:ascii="Garamond" w:hAnsi="Garamond"/>
          <w:sz w:val="20"/>
          <w:szCs w:val="20"/>
          <w:lang w:val="en-US"/>
        </w:rPr>
        <w:t>after</w:t>
      </w:r>
      <w:r>
        <w:rPr>
          <w:rFonts w:eastAsia="MingLiU;細明體" w:cs="Garamond" w:ascii="Garamond" w:hAnsi="Garamond"/>
          <w:sz w:val="20"/>
          <w:szCs w:val="20"/>
        </w:rPr>
        <w:t>_</w:t>
      </w:r>
      <w:r>
        <w:rPr>
          <w:rFonts w:eastAsia="MingLiU;細明體" w:cs="Garamond" w:ascii="Garamond" w:hAnsi="Garamond"/>
          <w:sz w:val="20"/>
          <w:szCs w:val="20"/>
          <w:lang w:val="en-US"/>
        </w:rPr>
        <w:t>the</w:t>
      </w:r>
      <w:r>
        <w:rPr>
          <w:rFonts w:eastAsia="MingLiU;細明體" w:cs="Garamond" w:ascii="Garamond" w:hAnsi="Garamond"/>
          <w:sz w:val="20"/>
          <w:szCs w:val="20"/>
        </w:rPr>
        <w:t>_</w:t>
      </w:r>
      <w:r>
        <w:rPr>
          <w:rFonts w:eastAsia="MingLiU;細明體" w:cs="Garamond" w:ascii="Garamond" w:hAnsi="Garamond"/>
          <w:sz w:val="20"/>
          <w:szCs w:val="20"/>
          <w:lang w:val="en-US"/>
        </w:rPr>
        <w:t>Rites</w:t>
      </w:r>
      <w:r>
        <w:rPr>
          <w:rFonts w:eastAsia="MingLiU;細明體" w:cs="Garamond" w:ascii="Garamond" w:hAnsi="Garamond"/>
          <w:sz w:val="20"/>
          <w:szCs w:val="20"/>
        </w:rPr>
        <w:t>_</w:t>
      </w:r>
      <w:r>
        <w:rPr>
          <w:rFonts w:eastAsia="MingLiU;細明體" w:cs="Garamond" w:ascii="Garamond" w:hAnsi="Garamond"/>
          <w:sz w:val="20"/>
          <w:szCs w:val="20"/>
          <w:lang w:val="en-US"/>
        </w:rPr>
        <w:t>Controversy</w:t>
      </w:r>
      <w:r>
        <w:rPr>
          <w:rFonts w:eastAsia="MingLiU;細明體" w:cs="Garamond" w:ascii="Garamond" w:hAnsi="Garamond"/>
          <w:sz w:val="20"/>
          <w:szCs w:val="20"/>
        </w:rPr>
        <w:t>_</w:t>
      </w:r>
      <w:r>
        <w:rPr>
          <w:rFonts w:eastAsia="MingLiU;細明體" w:cs="Garamond" w:ascii="Garamond" w:hAnsi="Garamond"/>
          <w:sz w:val="20"/>
          <w:szCs w:val="20"/>
          <w:lang w:val="en-US"/>
        </w:rPr>
        <w:t>in</w:t>
      </w:r>
      <w:r>
        <w:rPr>
          <w:rFonts w:eastAsia="MingLiU;細明體" w:cs="Garamond" w:ascii="Garamond" w:hAnsi="Garamond"/>
          <w:sz w:val="20"/>
          <w:szCs w:val="20"/>
        </w:rPr>
        <w:t>_</w:t>
      </w:r>
      <w:r>
        <w:rPr>
          <w:rFonts w:eastAsia="MingLiU;細明體" w:cs="Garamond" w:ascii="Garamond" w:hAnsi="Garamond"/>
          <w:sz w:val="20"/>
          <w:szCs w:val="20"/>
          <w:lang w:val="en-US"/>
        </w:rPr>
        <w:t>Ferdinando</w:t>
      </w:r>
      <w:r>
        <w:rPr>
          <w:rFonts w:eastAsia="MingLiU;細明體" w:cs="Garamond" w:ascii="Garamond" w:hAnsi="Garamond"/>
          <w:sz w:val="20"/>
          <w:szCs w:val="20"/>
        </w:rPr>
        <w:t>_</w:t>
      </w:r>
      <w:r>
        <w:rPr>
          <w:rFonts w:eastAsia="MingLiU;細明體" w:cs="Garamond" w:ascii="Garamond" w:hAnsi="Garamond"/>
          <w:sz w:val="20"/>
          <w:szCs w:val="20"/>
          <w:lang w:val="en-US"/>
        </w:rPr>
        <w:t>Moggi</w:t>
      </w:r>
      <w:r>
        <w:rPr>
          <w:rFonts w:eastAsia="MingLiU;細明體" w:cs="Garamond" w:ascii="Garamond" w:hAnsi="Garamond"/>
          <w:sz w:val="20"/>
          <w:szCs w:val="20"/>
        </w:rPr>
        <w:t>_1684_1761_</w:t>
      </w:r>
      <w:r>
        <w:rPr>
          <w:rFonts w:eastAsia="MingLiU;細明體" w:cs="Garamond" w:ascii="Garamond" w:hAnsi="Garamond"/>
          <w:sz w:val="20"/>
          <w:szCs w:val="20"/>
          <w:lang w:val="en-US"/>
        </w:rPr>
        <w:t>architetto</w:t>
      </w:r>
      <w:r>
        <w:rPr>
          <w:rFonts w:eastAsia="MingLiU;細明體" w:cs="Garamond" w:ascii="Garamond" w:hAnsi="Garamond"/>
          <w:sz w:val="20"/>
          <w:szCs w:val="20"/>
        </w:rPr>
        <w:t>_</w:t>
      </w:r>
      <w:r>
        <w:rPr>
          <w:rFonts w:eastAsia="MingLiU;細明體" w:cs="Garamond" w:ascii="Garamond" w:hAnsi="Garamond"/>
          <w:sz w:val="20"/>
          <w:szCs w:val="20"/>
          <w:lang w:val="en-US"/>
        </w:rPr>
        <w:t>e</w:t>
      </w:r>
      <w:r>
        <w:rPr>
          <w:rFonts w:eastAsia="MingLiU;細明體" w:cs="Garamond" w:ascii="Garamond" w:hAnsi="Garamond"/>
          <w:sz w:val="20"/>
          <w:szCs w:val="20"/>
        </w:rPr>
        <w:t>_</w:t>
      </w:r>
      <w:r>
        <w:rPr>
          <w:rFonts w:eastAsia="MingLiU;細明體" w:cs="Garamond" w:ascii="Garamond" w:hAnsi="Garamond"/>
          <w:sz w:val="20"/>
          <w:szCs w:val="20"/>
          <w:lang w:val="en-US"/>
        </w:rPr>
        <w:t>gesuita</w:t>
      </w:r>
      <w:r>
        <w:rPr>
          <w:rFonts w:eastAsia="MingLiU;細明體" w:cs="Garamond" w:ascii="Garamond" w:hAnsi="Garamond"/>
          <w:sz w:val="20"/>
          <w:szCs w:val="20"/>
        </w:rPr>
        <w:t>_</w:t>
      </w:r>
      <w:r>
        <w:rPr>
          <w:rFonts w:eastAsia="MingLiU;細明體" w:cs="Garamond" w:ascii="Garamond" w:hAnsi="Garamond"/>
          <w:sz w:val="20"/>
          <w:szCs w:val="20"/>
          <w:lang w:val="en-US"/>
        </w:rPr>
        <w:t>fiorentino</w:t>
      </w:r>
      <w:r>
        <w:rPr>
          <w:rFonts w:eastAsia="MingLiU;細明體" w:cs="Garamond" w:ascii="Garamond" w:hAnsi="Garamond"/>
          <w:sz w:val="20"/>
          <w:szCs w:val="20"/>
        </w:rPr>
        <w:t>_</w:t>
      </w:r>
      <w:r>
        <w:rPr>
          <w:rFonts w:eastAsia="MingLiU;細明體" w:cs="Garamond" w:ascii="Garamond" w:hAnsi="Garamond"/>
          <w:sz w:val="20"/>
          <w:szCs w:val="20"/>
          <w:lang w:val="en-US"/>
        </w:rPr>
        <w:t>in</w:t>
      </w:r>
      <w:r>
        <w:rPr>
          <w:rFonts w:eastAsia="MingLiU;細明體" w:cs="Garamond" w:ascii="Garamond" w:hAnsi="Garamond"/>
          <w:sz w:val="20"/>
          <w:szCs w:val="20"/>
        </w:rPr>
        <w:t>_</w:t>
      </w:r>
      <w:r>
        <w:rPr>
          <w:rFonts w:eastAsia="MingLiU;細明體" w:cs="Garamond" w:ascii="Garamond" w:hAnsi="Garamond"/>
          <w:sz w:val="20"/>
          <w:szCs w:val="20"/>
          <w:lang w:val="en-US"/>
        </w:rPr>
        <w:t>Cina</w:t>
      </w:r>
      <w:r>
        <w:rPr>
          <w:rFonts w:eastAsia="MingLiU;細明體" w:cs="Garamond" w:ascii="Garamond" w:hAnsi="Garamond"/>
          <w:sz w:val="20"/>
          <w:szCs w:val="20"/>
        </w:rPr>
        <w:t xml:space="preserve"> (дата обращения 06.11.2020).</w:t>
      </w:r>
    </w:p>
  </w:footnote>
  <w:footnote w:id="7">
    <w:p>
      <w:pPr>
        <w:pStyle w:val="Style32"/>
        <w:ind w:end="-31" w:hanging="0"/>
        <w:jc w:val="both"/>
        <w:rPr>
          <w:rFonts w:ascii="Garamond" w:hAnsi="Garamond" w:eastAsia="MingLiU;細明體" w:cs="Garamond"/>
        </w:rPr>
      </w:pPr>
      <w:r>
        <w:rPr>
          <w:rStyle w:val="Style13"/>
        </w:rPr>
        <w:footnoteRef/>
      </w:r>
      <w:r>
        <w:rPr>
          <w:rFonts w:eastAsia="MingLiU;細明體" w:cs="Garamond" w:ascii="Garamond" w:hAnsi="Garamond"/>
        </w:rPr>
        <w:t xml:space="preserve"> </w:t>
      </w:r>
      <w:r>
        <w:rPr>
          <w:rFonts w:eastAsia="MingLiU;細明體" w:cs="Garamond" w:ascii="Garamond" w:hAnsi="Garamond"/>
        </w:rPr>
        <w:t>О практике использования китайской кисти см.: [</w:t>
      </w:r>
      <w:r>
        <w:rPr>
          <w:rFonts w:eastAsia="MingLiU;細明體" w:cs="Garamond" w:ascii="Garamond" w:hAnsi="Garamond"/>
          <w:iCs/>
        </w:rPr>
        <w:t>Белозерова</w:t>
      </w:r>
      <w:r>
        <w:rPr>
          <w:rFonts w:eastAsia="MingLiU;細明體" w:cs="Garamond" w:ascii="Garamond" w:hAnsi="Garamond"/>
          <w:i/>
        </w:rPr>
        <w:t xml:space="preserve">, </w:t>
      </w:r>
      <w:r>
        <w:rPr>
          <w:rFonts w:eastAsia="MingLiU;細明體" w:cs="Garamond" w:ascii="Garamond" w:hAnsi="Garamond"/>
          <w:iCs/>
        </w:rPr>
        <w:t>2007].</w:t>
      </w:r>
    </w:p>
  </w:footnote>
  <w:footnote w:id="8">
    <w:p>
      <w:pPr>
        <w:pStyle w:val="Style29"/>
        <w:ind w:end="-31" w:hanging="0"/>
        <w:jc w:val="both"/>
        <w:rPr>
          <w:rFonts w:ascii="Garamond" w:hAnsi="Garamond" w:eastAsia="MingLiU;細明體" w:cs="Garamond"/>
          <w:sz w:val="20"/>
          <w:szCs w:val="20"/>
        </w:rPr>
      </w:pPr>
      <w:r>
        <w:rPr>
          <w:rStyle w:val="Style13"/>
        </w:rPr>
        <w:footnoteRef/>
      </w:r>
      <w:r>
        <w:rPr>
          <w:rFonts w:eastAsia="MingLiU;細明體" w:cs="Garamond" w:ascii="Garamond" w:hAnsi="Garamond"/>
          <w:sz w:val="20"/>
          <w:szCs w:val="20"/>
        </w:rPr>
        <w:t xml:space="preserve"> </w:t>
      </w:r>
      <w:r>
        <w:rPr>
          <w:rFonts w:eastAsia="MingLiU;細明體" w:cs="Garamond" w:ascii="Garamond" w:hAnsi="Garamond"/>
          <w:sz w:val="20"/>
          <w:szCs w:val="20"/>
        </w:rPr>
        <w:t xml:space="preserve">Цит по: </w:t>
      </w:r>
      <w:r>
        <w:rPr>
          <w:rFonts w:eastAsia="MingLiU;細明體" w:cs="Garamond" w:ascii="Garamond" w:hAnsi="Garamond"/>
          <w:bCs/>
          <w:iCs/>
          <w:sz w:val="20"/>
          <w:szCs w:val="20"/>
        </w:rPr>
        <w:t>Белозерова В. Г.</w:t>
      </w:r>
      <w:r>
        <w:rPr>
          <w:rFonts w:eastAsia="MingLiU;細明體" w:cs="Garamond" w:ascii="Garamond" w:hAnsi="Garamond"/>
          <w:bCs/>
          <w:sz w:val="20"/>
          <w:szCs w:val="20"/>
        </w:rPr>
        <w:t xml:space="preserve"> Эстетические принципы каллиграфической традиции Китая. </w:t>
      </w:r>
      <w:r>
        <w:rPr>
          <w:rFonts w:eastAsia="MingLiU;細明體" w:cs="Garamond" w:ascii="Garamond" w:hAnsi="Garamond"/>
          <w:bCs/>
          <w:i/>
          <w:iCs/>
          <w:sz w:val="20"/>
          <w:szCs w:val="20"/>
        </w:rPr>
        <w:t>Философские науки</w:t>
      </w:r>
      <w:r>
        <w:rPr>
          <w:rFonts w:eastAsia="MingLiU;細明體" w:cs="Garamond" w:ascii="Garamond" w:hAnsi="Garamond"/>
          <w:bCs/>
          <w:sz w:val="20"/>
          <w:szCs w:val="20"/>
        </w:rPr>
        <w:t xml:space="preserve">. 2013. </w:t>
      </w:r>
      <w:r>
        <w:rPr>
          <w:rFonts w:eastAsia="MingLiU;細明體" w:cs="Garamond" w:ascii="Garamond" w:hAnsi="Garamond"/>
          <w:sz w:val="20"/>
          <w:szCs w:val="20"/>
        </w:rPr>
        <w:t xml:space="preserve">URL: </w:t>
      </w:r>
      <w:r>
        <w:rPr>
          <w:rFonts w:eastAsia="MingLiU;細明體" w:cs="Garamond" w:ascii="Garamond" w:hAnsi="Garamond"/>
          <w:bCs/>
          <w:sz w:val="20"/>
          <w:szCs w:val="20"/>
        </w:rPr>
        <w:t>http://academyrh.info/html/ref/20050407.htm</w:t>
      </w:r>
      <w:r>
        <w:rPr>
          <w:rFonts w:eastAsia="MingLiU;細明體" w:cs="Garamond" w:ascii="Garamond" w:hAnsi="Garamond"/>
          <w:sz w:val="20"/>
          <w:szCs w:val="20"/>
        </w:rPr>
        <w:t xml:space="preserve"> (</w:t>
      </w:r>
      <w:r>
        <w:rPr>
          <w:rFonts w:eastAsia="MingLiU;細明體" w:cs="Garamond" w:ascii="Garamond" w:hAnsi="Garamond"/>
          <w:bCs/>
          <w:sz w:val="20"/>
          <w:szCs w:val="20"/>
        </w:rPr>
        <w:t>дата обращения 21.05.2017).</w:t>
      </w:r>
    </w:p>
  </w:footnote>
  <w:footnote w:id="9">
    <w:p>
      <w:pPr>
        <w:pStyle w:val="Style29"/>
        <w:ind w:end="-31" w:hanging="0"/>
        <w:jc w:val="both"/>
        <w:rPr/>
      </w:pPr>
      <w:r>
        <w:rPr>
          <w:rStyle w:val="Style13"/>
        </w:rPr>
        <w:footnoteRef/>
      </w:r>
      <w:r>
        <w:rPr>
          <w:rFonts w:eastAsia="MingLiU;細明體" w:cs="Garamond" w:ascii="Garamond" w:hAnsi="Garamond"/>
          <w:sz w:val="20"/>
          <w:szCs w:val="20"/>
          <w:lang w:val="fr-FR"/>
        </w:rPr>
        <w:t xml:space="preserve"> </w:t>
      </w:r>
      <w:r>
        <w:rPr>
          <w:rFonts w:eastAsia="MingLiU;細明體" w:cs="Garamond" w:ascii="Garamond" w:hAnsi="Garamond"/>
          <w:sz w:val="20"/>
          <w:szCs w:val="20"/>
          <w:lang w:val="fr-FR"/>
        </w:rPr>
        <w:t xml:space="preserve">Wu Li. </w:t>
      </w:r>
      <w:r>
        <w:rPr>
          <w:rFonts w:eastAsia="MingLiU;細明體" w:cs="Garamond" w:ascii="Garamond" w:hAnsi="Garamond"/>
          <w:i/>
          <w:iCs/>
          <w:sz w:val="20"/>
          <w:szCs w:val="20"/>
          <w:lang w:val="fr-FR"/>
        </w:rPr>
        <w:t>Silk Qin. com</w:t>
      </w:r>
      <w:r>
        <w:rPr>
          <w:rFonts w:eastAsia="MingLiU;細明體" w:cs="Garamond" w:ascii="Garamond" w:hAnsi="Garamond"/>
          <w:sz w:val="20"/>
          <w:szCs w:val="20"/>
          <w:lang w:val="fr-FR"/>
        </w:rPr>
        <w:t xml:space="preserve">. </w:t>
      </w:r>
      <w:r>
        <w:rPr>
          <w:rFonts w:eastAsia="MingLiU;細明體" w:cs="Garamond" w:ascii="Garamond" w:hAnsi="Garamond"/>
          <w:sz w:val="20"/>
          <w:szCs w:val="20"/>
        </w:rPr>
        <w:t>URL: http://www.silkqin.com/09hist/other/wuli.htm (дата обращения 06.10.2020).</w:t>
      </w:r>
    </w:p>
  </w:footnote>
  <w:footnote w:id="10">
    <w:p>
      <w:pPr>
        <w:pStyle w:val="Normal"/>
        <w:ind w:end="-31" w:hanging="0"/>
        <w:jc w:val="both"/>
        <w:rPr>
          <w:rFonts w:ascii="Garamond" w:hAnsi="Garamond" w:eastAsia="MingLiU;細明體" w:cs="Garamond"/>
        </w:rPr>
      </w:pPr>
      <w:r>
        <w:rPr>
          <w:rStyle w:val="Style13"/>
        </w:rPr>
        <w:footnoteRef/>
      </w:r>
      <w:r>
        <w:rPr>
          <w:rFonts w:eastAsia="MingLiU;細明體" w:cs="Garamond" w:ascii="Garamond" w:hAnsi="Garamond"/>
        </w:rPr>
        <w:t xml:space="preserve"> </w:t>
      </w:r>
      <w:r>
        <w:rPr>
          <w:rFonts w:eastAsia="MingLiU;細明體" w:cs="Garamond" w:ascii="Garamond" w:hAnsi="Garamond"/>
          <w:shd w:fill="FFFFFF" w:val="clear"/>
        </w:rPr>
        <w:t>Vernicia fordii, Тунг Форда, тунг китайский, верниция Форда.</w:t>
      </w:r>
    </w:p>
  </w:footnote>
  <w:footnote w:id="11">
    <w:p>
      <w:pPr>
        <w:pStyle w:val="Normal"/>
        <w:ind w:end="-31" w:hanging="0"/>
        <w:jc w:val="both"/>
        <w:rPr/>
      </w:pPr>
      <w:r>
        <w:rPr>
          <w:rStyle w:val="Style13"/>
        </w:rPr>
        <w:footnoteRef/>
      </w:r>
      <w:r>
        <w:rPr>
          <w:rFonts w:eastAsia="MingLiU;細明體" w:cs="Garamond" w:ascii="Garamond" w:hAnsi="Garamond"/>
        </w:rPr>
        <w:t xml:space="preserve"> </w:t>
      </w:r>
      <w:r>
        <w:rPr>
          <w:rFonts w:ascii="Garamond" w:hAnsi="Garamond" w:eastAsia="MingLiU;細明體"/>
        </w:rPr>
        <w:t>焦尾</w:t>
      </w:r>
      <w:r>
        <w:rPr>
          <w:rFonts w:eastAsia="MingLiU;細明體" w:cs="Garamond" w:ascii="Garamond" w:hAnsi="Garamond"/>
        </w:rPr>
        <w:t xml:space="preserve">, «Горелым хвостом» называли полено из дерева Тун, которое клали в огонь и давали ему прогореть, пока не обугливались срезы, после чего вынимали и делали из обожженного полена </w:t>
      </w:r>
      <w:r>
        <w:rPr>
          <w:rFonts w:eastAsia="MingLiU;細明體" w:cs="Garamond" w:ascii="Garamond" w:hAnsi="Garamond"/>
          <w:i/>
          <w:iCs/>
        </w:rPr>
        <w:t>цинь</w:t>
      </w:r>
      <w:r>
        <w:rPr>
          <w:rFonts w:eastAsia="MingLiU;細明體" w:cs="Garamond" w:ascii="Garamond" w:hAnsi="Garamond"/>
        </w:rPr>
        <w:t>.</w:t>
      </w:r>
    </w:p>
  </w:footnote>
  <w:footnote w:id="12">
    <w:p>
      <w:pPr>
        <w:pStyle w:val="Normal"/>
        <w:ind w:end="-31" w:hanging="0"/>
        <w:jc w:val="both"/>
        <w:rPr>
          <w:rFonts w:ascii="Garamond" w:hAnsi="Garamond" w:eastAsia="MingLiU;細明體" w:cs="Garamond"/>
        </w:rPr>
      </w:pPr>
      <w:r>
        <w:rPr>
          <w:rStyle w:val="Style13"/>
        </w:rPr>
        <w:footnoteRef/>
      </w:r>
      <w:r>
        <w:rPr>
          <w:rFonts w:eastAsia="MingLiU;細明體" w:cs="Garamond" w:ascii="Garamond" w:hAnsi="Garamond"/>
        </w:rPr>
        <w:t xml:space="preserve"> </w:t>
      </w:r>
      <w:r>
        <w:rPr>
          <w:rFonts w:ascii="Garamond" w:hAnsi="Garamond" w:eastAsia="MingLiU;細明體"/>
          <w:shd w:fill="FFFFFF" w:val="clear"/>
        </w:rPr>
        <w:t>琵琶</w:t>
      </w:r>
      <w:r>
        <w:rPr>
          <w:rFonts w:eastAsia="MingLiU;細明體" w:cs="Garamond" w:ascii="Garamond" w:hAnsi="Garamond"/>
          <w:shd w:fill="FFFFFF" w:val="clear"/>
        </w:rPr>
        <w:t xml:space="preserve">; </w:t>
      </w:r>
      <w:r>
        <w:rPr>
          <w:rFonts w:eastAsia="MingLiU;細明體" w:cs="Garamond" w:ascii="Garamond" w:hAnsi="Garamond"/>
          <w:i/>
          <w:iCs/>
          <w:shd w:fill="FFFFFF" w:val="clear"/>
        </w:rPr>
        <w:t>пипа</w:t>
      </w:r>
      <w:r>
        <w:rPr>
          <w:rFonts w:eastAsia="MingLiU;細明體" w:cs="Garamond" w:ascii="Garamond" w:hAnsi="Garamond"/>
          <w:shd w:fill="FFFFFF" w:val="clear"/>
        </w:rPr>
        <w:t> — китайский струнный щипковый музыкальный инструмент, напоминающий лютню.</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8820" w:type="dxa"/>
      <w:jc w:val="start"/>
      <w:tblInd w:w="0" w:type="dxa"/>
      <w:tblLayout w:type="fixed"/>
      <w:tblCellMar>
        <w:top w:w="0" w:type="dxa"/>
        <w:start w:w="108" w:type="dxa"/>
        <w:bottom w:w="0" w:type="dxa"/>
        <w:end w:w="108" w:type="dxa"/>
      </w:tblCellMar>
    </w:tblPr>
    <w:tblGrid>
      <w:gridCol w:w="8820"/>
    </w:tblGrid>
    <w:tr>
      <w:trPr/>
      <w:tc>
        <w:tcPr>
          <w:tcW w:w="8820" w:type="dxa"/>
          <w:tcBorders>
            <w:bottom w:val="single" w:sz="12" w:space="0" w:color="000000"/>
          </w:tcBorders>
        </w:tcPr>
        <w:p>
          <w:pPr>
            <w:pStyle w:val="Style30"/>
            <w:jc w:val="center"/>
            <w:rPr>
              <w:rFonts w:ascii="Garamond" w:hAnsi="Garamond" w:cs="Garamond"/>
              <w:color w:val="000000"/>
            </w:rPr>
          </w:pPr>
          <w:r>
            <w:rPr>
              <w:rFonts w:eastAsia="MingLiU;細明體" w:cs="Garamond" w:ascii="Garamond" w:hAnsi="Garamond"/>
            </w:rPr>
            <w:t>Дубровская Д. В. Исключение из правила: как гений адаптации Маттео Риччи не сумел понять...</w:t>
          </w:r>
        </w:p>
        <w:p>
          <w:pPr>
            <w:pStyle w:val="Style30"/>
            <w:jc w:val="center"/>
            <w:rPr>
              <w:rFonts w:ascii="Garamond" w:hAnsi="Garamond" w:cs="Garamond"/>
              <w:color w:val="000000"/>
              <w:sz w:val="8"/>
              <w:szCs w:val="8"/>
            </w:rPr>
          </w:pPr>
          <w:r>
            <w:rPr>
              <w:rFonts w:cs="Garamond" w:ascii="Garamond" w:hAnsi="Garamond"/>
              <w:color w:val="000000"/>
              <w:sz w:val="8"/>
              <w:szCs w:val="8"/>
            </w:rPr>
          </w:r>
        </w:p>
      </w:tc>
    </w:tr>
  </w:tbl>
  <w:p>
    <w:pPr>
      <w:pStyle w:val="Style30"/>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pStyle w:val="5"/>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bering>
</file>

<file path=word/settings.xml><?xml version="1.0" encoding="utf-8"?>
<w:settings xmlns:w="http://schemas.openxmlformats.org/wordprocessingml/2006/main">
  <w:zoom w:percent="150"/>
  <w:defaultTabStop w:val="709"/>
  <w:autoHyphenation w:val="true"/>
  <w:footnotePr>
    <w:numFmt w:val="chicago"/>
    <w:numRestart w:val="eachSect"/>
    <w:footnote w:id="0"/>
    <w:footnote w:id="1"/>
  </w:footnotePr>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erif CJK SC" w:cs="Lohit Devanagari"/>
        <w:sz w:val="24"/>
        <w:szCs w:val="24"/>
        <w:lang w:val="ru-RU"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0"/>
      <w:szCs w:val="20"/>
      <w:lang w:val="ru-RU" w:bidi="ar-SA" w:eastAsia="zh-CN"/>
    </w:rPr>
  </w:style>
  <w:style w:type="paragraph" w:styleId="1">
    <w:name w:val="Heading 1"/>
    <w:basedOn w:val="Normal"/>
    <w:next w:val="Normal"/>
    <w:qFormat/>
    <w:pPr>
      <w:keepNext w:val="true"/>
      <w:numPr>
        <w:ilvl w:val="0"/>
        <w:numId w:val="1"/>
      </w:numPr>
      <w:spacing w:before="240" w:after="60"/>
      <w:outlineLvl w:val="0"/>
    </w:pPr>
    <w:rPr>
      <w:rFonts w:ascii="Arial" w:hAnsi="Arial" w:cs="Arial"/>
      <w:b/>
      <w:bCs/>
      <w:kern w:val="2"/>
      <w:sz w:val="32"/>
      <w:szCs w:val="32"/>
    </w:rPr>
  </w:style>
  <w:style w:type="paragraph" w:styleId="5">
    <w:name w:val="Heading 5"/>
    <w:basedOn w:val="Normal"/>
    <w:next w:val="Style23"/>
    <w:qFormat/>
    <w:pPr>
      <w:numPr>
        <w:ilvl w:val="4"/>
        <w:numId w:val="1"/>
      </w:numPr>
      <w:spacing w:before="280" w:after="280"/>
      <w:outlineLvl w:val="4"/>
    </w:pPr>
    <w:rPr>
      <w:rFonts w:ascii="Times" w:hAnsi="Times" w:eastAsia="MS Mincho;MS Gothic" w:cs="Times New Roman"/>
      <w:b/>
      <w:bCs/>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Style12">
    <w:name w:val="Основной шрифт абзаца"/>
    <w:qFormat/>
    <w:rPr/>
  </w:style>
  <w:style w:type="character" w:styleId="FooterChar">
    <w:name w:val="Footer Char"/>
    <w:qFormat/>
    <w:rPr>
      <w:rFonts w:ascii="Times New Roman" w:hAnsi="Times New Roman" w:eastAsia="Times New Roman" w:cs="Times New Roman"/>
      <w:sz w:val="20"/>
      <w:szCs w:val="20"/>
    </w:rPr>
  </w:style>
  <w:style w:type="character" w:styleId="FootnoteTextChar">
    <w:name w:val="Footnote Text Char"/>
    <w:qFormat/>
    <w:rPr>
      <w:rFonts w:ascii="Times New Roman" w:hAnsi="Times New Roman" w:eastAsia="Times New Roman" w:cs="Times New Roman"/>
    </w:rPr>
  </w:style>
  <w:style w:type="character" w:styleId="Style13">
    <w:name w:val="Символ сноски"/>
    <w:qFormat/>
    <w:rPr>
      <w:vertAlign w:val="superscript"/>
    </w:rPr>
  </w:style>
  <w:style w:type="character" w:styleId="BodyTextChar">
    <w:name w:val="Body Text Char"/>
    <w:qFormat/>
    <w:rPr>
      <w:rFonts w:ascii="Times New Roman" w:hAnsi="Times New Roman" w:cs="Times New Roman"/>
      <w:b/>
      <w:bCs/>
      <w:sz w:val="18"/>
      <w:szCs w:val="18"/>
      <w:lang w:val="en-US"/>
    </w:rPr>
  </w:style>
  <w:style w:type="character" w:styleId="Appleconvertedspace">
    <w:name w:val="apple-converted-space"/>
    <w:basedOn w:val="Style12"/>
    <w:qFormat/>
    <w:rPr/>
  </w:style>
  <w:style w:type="character" w:styleId="Heading5Char">
    <w:name w:val="Heading 5 Char"/>
    <w:qFormat/>
    <w:rPr>
      <w:rFonts w:ascii="Times" w:hAnsi="Times" w:cs="Times"/>
      <w:b/>
      <w:bCs/>
      <w:sz w:val="20"/>
      <w:szCs w:val="20"/>
    </w:rPr>
  </w:style>
  <w:style w:type="character" w:styleId="Style14">
    <w:name w:val="Интернет-ссылка"/>
    <w:rPr>
      <w:color w:val="0000FF"/>
      <w:u w:val="single"/>
    </w:rPr>
  </w:style>
  <w:style w:type="character" w:styleId="Style15">
    <w:name w:val="Посещённая гиперссылка"/>
    <w:rPr>
      <w:color w:val="800080"/>
      <w:u w:val="single"/>
    </w:rPr>
  </w:style>
  <w:style w:type="character" w:styleId="Style16">
    <w:name w:val="Номер страницы"/>
    <w:basedOn w:val="Style12"/>
    <w:rPr/>
  </w:style>
  <w:style w:type="character" w:styleId="Style17">
    <w:name w:val="Выделение"/>
    <w:qFormat/>
    <w:rPr>
      <w:i/>
      <w:iCs/>
    </w:rPr>
  </w:style>
  <w:style w:type="character" w:styleId="Goohl0">
    <w:name w:val="goohl0"/>
    <w:qFormat/>
    <w:rPr>
      <w:rFonts w:cs="Times New Roman"/>
    </w:rPr>
  </w:style>
  <w:style w:type="character" w:styleId="Goohl1">
    <w:name w:val="goohl1"/>
    <w:qFormat/>
    <w:rPr>
      <w:rFonts w:cs="Times New Roman"/>
    </w:rPr>
  </w:style>
  <w:style w:type="character" w:styleId="11">
    <w:name w:val=" Знак Знак1"/>
    <w:qFormat/>
    <w:rPr>
      <w:rFonts w:ascii="Courier New" w:hAnsi="Courier New" w:eastAsia="PMingLiU;新細明體" w:cs="Courier New"/>
      <w:lang w:val="ru-RU" w:eastAsia="zh-CN" w:bidi="ar-SA"/>
    </w:rPr>
  </w:style>
  <w:style w:type="character" w:styleId="Style18">
    <w:name w:val=" Знак Знак"/>
    <w:qFormat/>
    <w:rPr>
      <w:rFonts w:ascii="Courier New" w:hAnsi="Courier New" w:eastAsia="PMingLiU;新細明體" w:cs="Courier New"/>
      <w:lang w:val="ru-RU" w:bidi="ar-SA"/>
    </w:rPr>
  </w:style>
  <w:style w:type="character" w:styleId="A">
    <w:name w:val="a"/>
    <w:qFormat/>
    <w:rPr>
      <w:rFonts w:cs="Times New Roman"/>
    </w:rPr>
  </w:style>
  <w:style w:type="character" w:styleId="WW8Dropcap0">
    <w:name w:val="WW8Dropcap0"/>
    <w:qFormat/>
    <w:rPr>
      <w:rFonts w:ascii="Garamond" w:hAnsi="Garamond" w:eastAsia="MingLiU;細明體" w:cs="Garamond"/>
      <w:sz w:val="112"/>
      <w:szCs w:val="24"/>
    </w:rPr>
  </w:style>
  <w:style w:type="character" w:styleId="Style19">
    <w:name w:val="Привязка сноски"/>
    <w:rPr>
      <w:vertAlign w:val="superscript"/>
    </w:rPr>
  </w:style>
  <w:style w:type="character" w:styleId="Style20">
    <w:name w:val="Привязка концевой сноски"/>
    <w:rPr>
      <w:vertAlign w:val="superscript"/>
    </w:rPr>
  </w:style>
  <w:style w:type="character" w:styleId="Style21">
    <w:name w:val="Символ концевой сноски"/>
    <w:qFormat/>
    <w:rPr/>
  </w:style>
  <w:style w:type="paragraph" w:styleId="Style22">
    <w:name w:val="Заголовок"/>
    <w:basedOn w:val="Normal"/>
    <w:next w:val="Style23"/>
    <w:qFormat/>
    <w:pPr>
      <w:keepNext w:val="true"/>
      <w:spacing w:before="240" w:after="120"/>
    </w:pPr>
    <w:rPr>
      <w:rFonts w:ascii="Liberation Sans" w:hAnsi="Liberation Sans" w:eastAsia="Noto Sans CJK SC" w:cs="Lohit Devanagari"/>
      <w:sz w:val="28"/>
      <w:szCs w:val="28"/>
    </w:rPr>
  </w:style>
  <w:style w:type="paragraph" w:styleId="Style23">
    <w:name w:val="Body Text"/>
    <w:basedOn w:val="Normal"/>
    <w:pPr>
      <w:widowControl w:val="false"/>
      <w:autoSpaceDE w:val="false"/>
      <w:ind w:start="40" w:hanging="0"/>
    </w:pPr>
    <w:rPr>
      <w:rFonts w:eastAsia="MS Mincho;MS Gothic"/>
      <w:b/>
      <w:bCs/>
      <w:sz w:val="18"/>
      <w:szCs w:val="18"/>
      <w:lang w:val="en-US"/>
    </w:rPr>
  </w:style>
  <w:style w:type="paragraph" w:styleId="Style24">
    <w:name w:val="List"/>
    <w:basedOn w:val="Style23"/>
    <w:pPr/>
    <w:rPr>
      <w:rFonts w:cs="Lohit Devanagari"/>
    </w:rPr>
  </w:style>
  <w:style w:type="paragraph" w:styleId="Style25">
    <w:name w:val="Caption"/>
    <w:basedOn w:val="Normal"/>
    <w:qFormat/>
    <w:pPr>
      <w:suppressLineNumbers/>
      <w:spacing w:before="120" w:after="120"/>
    </w:pPr>
    <w:rPr>
      <w:rFonts w:cs="Lohit Devanagari"/>
      <w:i/>
      <w:iCs/>
      <w:sz w:val="24"/>
      <w:szCs w:val="24"/>
    </w:rPr>
  </w:style>
  <w:style w:type="paragraph" w:styleId="Style26">
    <w:name w:val="Указатель"/>
    <w:basedOn w:val="Normal"/>
    <w:qFormat/>
    <w:pPr>
      <w:suppressLineNumbers/>
    </w:pPr>
    <w:rPr>
      <w:rFonts w:cs="Lohit Devanagari"/>
    </w:rPr>
  </w:style>
  <w:style w:type="paragraph" w:styleId="Style27">
    <w:name w:val="Верхний и нижний колонтитулы"/>
    <w:basedOn w:val="Normal"/>
    <w:qFormat/>
    <w:pPr>
      <w:suppressLineNumbers/>
      <w:tabs>
        <w:tab w:val="clear" w:pos="709"/>
        <w:tab w:val="center" w:pos="4819" w:leader="none"/>
        <w:tab w:val="right" w:pos="9638" w:leader="none"/>
      </w:tabs>
    </w:pPr>
    <w:rPr/>
  </w:style>
  <w:style w:type="paragraph" w:styleId="Style28">
    <w:name w:val="Footer"/>
    <w:basedOn w:val="Normal"/>
    <w:pPr/>
    <w:rPr/>
  </w:style>
  <w:style w:type="paragraph" w:styleId="Style29">
    <w:name w:val="Footnote Text"/>
    <w:basedOn w:val="Normal"/>
    <w:pPr/>
    <w:rPr>
      <w:sz w:val="24"/>
      <w:szCs w:val="24"/>
    </w:rPr>
  </w:style>
  <w:style w:type="paragraph" w:styleId="ListParagraph">
    <w:name w:val="List Paragraph"/>
    <w:basedOn w:val="Normal"/>
    <w:qFormat/>
    <w:pPr>
      <w:spacing w:before="0" w:after="0"/>
      <w:ind w:start="720" w:hanging="0"/>
      <w:contextualSpacing/>
    </w:pPr>
    <w:rPr/>
  </w:style>
  <w:style w:type="paragraph" w:styleId="Style30">
    <w:name w:val="Header"/>
    <w:basedOn w:val="Normal"/>
    <w:pPr>
      <w:tabs>
        <w:tab w:val="clear" w:pos="709"/>
        <w:tab w:val="center" w:pos="4677" w:leader="none"/>
        <w:tab w:val="right" w:pos="9355" w:leader="none"/>
      </w:tabs>
    </w:pPr>
    <w:rPr/>
  </w:style>
  <w:style w:type="paragraph" w:styleId="Style31">
    <w:name w:val="Обычный (веб)"/>
    <w:basedOn w:val="Normal"/>
    <w:qFormat/>
    <w:pPr>
      <w:spacing w:before="280" w:after="280"/>
    </w:pPr>
    <w:rPr>
      <w:sz w:val="24"/>
      <w:szCs w:val="24"/>
    </w:rPr>
  </w:style>
  <w:style w:type="paragraph" w:styleId="Msonormalmailrucssattributepostfix">
    <w:name w:val="msonormal_mailru_css_attribute_postfix"/>
    <w:basedOn w:val="Normal"/>
    <w:qFormat/>
    <w:pPr>
      <w:spacing w:before="280" w:after="280"/>
    </w:pPr>
    <w:rPr>
      <w:sz w:val="24"/>
      <w:szCs w:val="24"/>
    </w:rPr>
  </w:style>
  <w:style w:type="paragraph" w:styleId="Style32">
    <w:name w:val="Текст"/>
    <w:basedOn w:val="Normal"/>
    <w:qFormat/>
    <w:pPr/>
    <w:rPr>
      <w:rFonts w:ascii="Courier New" w:hAnsi="Courier New" w:eastAsia="PMingLiU;新細明體" w:cs="Courier New"/>
      <w:lang w:eastAsia="zh-CN"/>
    </w:rPr>
  </w:style>
  <w:style w:type="paragraph" w:styleId="HTML">
    <w:name w:val="Стандартный HTML"/>
    <w:basedOn w:val="Normal"/>
    <w:qFormat/>
    <w:pPr>
      <w:tabs>
        <w:tab w:val="clear" w:pos="709"/>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Courier New" w:hAnsi="Courier New" w:eastAsia="PMingLiU;新細明體" w:cs="Courier New"/>
    </w:rPr>
  </w:style>
  <w:style w:type="paragraph" w:styleId="Style33">
    <w:name w:val="Содержимое таблицы"/>
    <w:basedOn w:val="Normal"/>
    <w:qFormat/>
    <w:pPr>
      <w:widowControl w:val="false"/>
      <w:suppressLineNumbers/>
    </w:pPr>
    <w:rPr/>
  </w:style>
  <w:style w:type="paragraph" w:styleId="Style34">
    <w:name w:val="Заголовок таблицы"/>
    <w:basedOn w:val="Style33"/>
    <w:qFormat/>
    <w:pPr>
      <w:suppressLineNumbers/>
      <w:jc w:val="center"/>
    </w:pPr>
    <w:rPr>
      <w:b/>
      <w:bCs/>
    </w:rPr>
  </w:style>
  <w:style w:type="paragraph" w:styleId="Style35">
    <w:name w:val="Содержимое врезки"/>
    <w:basedOn w:val="Normal"/>
    <w:qFormat/>
    <w:pPr/>
    <w:rPr/>
  </w:style>
  <w:style w:type="numbering" w:styleId="WW8Num1">
    <w:name w:val="WW8Num1"/>
    <w:qFormat/>
  </w:style>
  <w:style w:type="numbering" w:styleId="WW8Num2">
    <w:name w:val="WW8Num2"/>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image" Target="media/image2.jpe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header" Target="header1.xml"/><Relationship Id="rId9" Type="http://schemas.openxmlformats.org/officeDocument/2006/relationships/footer" Target="footer2.xml"/><Relationship Id="rId10" Type="http://schemas.openxmlformats.org/officeDocument/2006/relationships/footnotes" Target="footnotes.xml"/><Relationship Id="rId11" Type="http://schemas.openxmlformats.org/officeDocument/2006/relationships/numbering" Target="numbering.xml"/><Relationship Id="rId12" Type="http://schemas.openxmlformats.org/officeDocument/2006/relationships/fontTable" Target="fontTable.xml"/><Relationship Id="rId13"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404</TotalTime>
  <Application>LibreOffice/7.0.3.1$Linux_X86_64 LibreOffice_project/00$Build-1</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2018-03-18T22:15:00Z</dcterms:created>
  <dc:creator>Vestnik IOS RAS</dc:creator>
  <dc:description/>
  <cp:keywords> </cp:keywords>
  <dc:language>ru-RU</dc:language>
  <cp:lastModifiedBy>Malykh</cp:lastModifiedBy>
  <cp:lastPrinted>2020-12-15T16:30:00Z</cp:lastPrinted>
  <dcterms:modified xsi:type="dcterms:W3CDTF">2020-12-16T00:02:00Z</dcterms:modified>
  <cp:revision>216</cp:revision>
  <dc:subject/>
  <dc:title>РУБРИКА: РЕЦЕНЗИИ; к юбилею ИВ РАН (</dc:title>
</cp:coreProperties>
</file>