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end="-31" w:hanging="0"/>
        <w:jc w:val="center"/>
        <w:rPr>
          <w:rFonts w:ascii="Garamond" w:hAnsi="Garamond" w:cs="Garamond"/>
          <w:b/>
          <w:b/>
          <w:caps/>
          <w:sz w:val="24"/>
          <w:szCs w:val="24"/>
          <w:lang w:val="en-US"/>
        </w:rPr>
      </w:pPr>
      <w:r>
        <w:rPr>
          <w:rFonts w:cs="Garamond" w:ascii="Garamond" w:hAnsi="Garamond"/>
          <w:b/>
          <w:caps/>
          <w:sz w:val="24"/>
          <w:szCs w:val="24"/>
          <w:lang w:val="en-US"/>
        </w:rPr>
        <w:t>Gratulatoria</w:t>
      </w:r>
    </w:p>
    <w:tbl>
      <w:tblPr>
        <w:tblW w:w="882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8820"/>
      </w:tblGrid>
      <w:tr>
        <w:trPr/>
        <w:tc>
          <w:tcPr>
            <w:tcW w:w="8820" w:type="dxa"/>
            <w:tcBorders>
              <w:bottom w:val="thickThinMediumGap" w:sz="24" w:space="0" w:color="000000"/>
            </w:tcBorders>
          </w:tcPr>
          <w:p>
            <w:pPr>
              <w:pStyle w:val="Normal"/>
              <w:snapToGrid w:val="false"/>
              <w:ind w:end="-31" w:hanging="0"/>
              <w:jc w:val="center"/>
              <w:rPr>
                <w:rFonts w:ascii="Garamond" w:hAnsi="Garamond" w:cs="Garamond"/>
                <w:b/>
                <w:b/>
                <w:caps/>
                <w:sz w:val="12"/>
                <w:szCs w:val="12"/>
              </w:rPr>
            </w:pPr>
            <w:r>
              <w:rPr>
                <w:rFonts w:cs="Garamond" w:ascii="Garamond" w:hAnsi="Garamond"/>
                <w:b/>
                <w:caps/>
                <w:sz w:val="12"/>
                <w:szCs w:val="12"/>
              </w:rPr>
            </w:r>
          </w:p>
        </w:tc>
      </w:tr>
    </w:tbl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  <w:drawing>
          <wp:inline distT="0" distB="0" distL="0" distR="0">
            <wp:extent cx="2613660" cy="261366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spacing w:lineRule="auto" w:line="360"/>
        <w:ind w:end="-31" w:hanging="0"/>
        <w:jc w:val="center"/>
        <w:rPr/>
      </w:pPr>
      <w:r>
        <w:rPr>
          <w:rFonts w:eastAsia="Garamond" w:cs="Garamond" w:ascii="Garamond" w:hAnsi="Garamond"/>
          <w:b/>
          <w:bCs/>
          <w:sz w:val="26"/>
          <w:szCs w:val="26"/>
        </w:rPr>
        <w:t xml:space="preserve"> </w:t>
      </w:r>
      <w:r>
        <w:rPr>
          <w:rFonts w:cs="Garamond" w:ascii="Garamond" w:hAnsi="Garamond"/>
          <w:b/>
          <w:bCs/>
          <w:sz w:val="26"/>
          <w:szCs w:val="26"/>
        </w:rPr>
        <w:t>«Я ХОЧУ УЙТИ ЗА ТЕКСТ, УЙТИ В ЖИЗНЬ»:</w:t>
      </w:r>
    </w:p>
    <w:p>
      <w:pPr>
        <w:pStyle w:val="Normal"/>
        <w:spacing w:lineRule="auto" w:line="360"/>
        <w:ind w:end="-31" w:hanging="0"/>
        <w:jc w:val="center"/>
        <w:rPr>
          <w:rFonts w:ascii="Garamond" w:hAnsi="Garamond" w:cs="Garamond"/>
          <w:b/>
          <w:b/>
          <w:sz w:val="26"/>
          <w:szCs w:val="26"/>
        </w:rPr>
      </w:pPr>
      <w:r>
        <w:rPr>
          <w:rFonts w:cs="Garamond" w:ascii="Garamond" w:hAnsi="Garamond"/>
          <w:b/>
          <w:sz w:val="26"/>
          <w:szCs w:val="26"/>
        </w:rPr>
        <w:t>К 70-ЛЕТИЮ ВОСТОКОВЕДА</w:t>
      </w:r>
    </w:p>
    <w:p>
      <w:pPr>
        <w:pStyle w:val="Normal"/>
        <w:spacing w:lineRule="auto" w:line="360"/>
        <w:ind w:end="-31" w:hanging="0"/>
        <w:jc w:val="center"/>
        <w:rPr>
          <w:rFonts w:ascii="Garamond" w:hAnsi="Garamond" w:cs="Garamond"/>
          <w:b/>
          <w:b/>
          <w:bCs/>
          <w:sz w:val="26"/>
          <w:szCs w:val="26"/>
        </w:rPr>
      </w:pPr>
      <w:r>
        <w:rPr>
          <w:rFonts w:cs="Garamond" w:ascii="Garamond" w:hAnsi="Garamond"/>
          <w:b/>
          <w:sz w:val="26"/>
          <w:szCs w:val="26"/>
        </w:rPr>
        <w:t>ВЛАДИМИРА ВЯЧЕСЛАВОВИЧА МАЛЯВИНА</w:t>
      </w:r>
    </w:p>
    <w:p>
      <w:pPr>
        <w:pStyle w:val="Normal"/>
        <w:ind w:end="-31" w:hanging="0"/>
        <w:jc w:val="center"/>
        <w:rPr>
          <w:rFonts w:ascii="Garamond" w:hAnsi="Garamond" w:cs="Garamond"/>
          <w:b/>
          <w:b/>
          <w:bCs/>
          <w:sz w:val="24"/>
          <w:szCs w:val="24"/>
        </w:rPr>
      </w:pPr>
      <w:r>
        <w:rPr>
          <w:rFonts w:cs="Garamond" w:ascii="Garamond" w:hAnsi="Garamond"/>
          <w:b/>
          <w:bCs/>
          <w:sz w:val="24"/>
          <w:szCs w:val="24"/>
        </w:rPr>
      </w:r>
    </w:p>
    <w:p>
      <w:pPr>
        <w:pStyle w:val="Normal"/>
        <w:ind w:end="-31" w:hanging="0"/>
        <w:jc w:val="both"/>
        <w:rPr/>
      </w:pPr>
      <w:r>
        <w:rPr/>
        <w:t>13</w:t>
      </w:r>
      <w:r>
        <w:rPr>
          <w:rFonts w:cs="Garamond" w:ascii="Garamond" w:hAnsi="Garamond"/>
          <w:sz w:val="24"/>
          <w:szCs w:val="24"/>
        </w:rPr>
        <w:t xml:space="preserve"> сентября 2020 года отметил 70-летний юбилей наш старший друг и коллега, один из самых талантливых и широко известных российских китаеведов — Владимир Вячеславович Малявин.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Российской и зарубежной научной общественности широко известна его почти полувековая плодотворная и многогранная деятельность как крупного ученого, организатора науки, переводчика, блестящего знатока языка, истории и духовного наследия традиционного Китая, неутомимого путешественника, писателя, педагога, философа, специалиста по сравнительному изучению культур и цивилизаций, радетеля продвижения русской культуры за границей, тонкого наблюдателя метаморфоз и парадоксов современной действительности в евразийском и глобальном социумах.</w:t>
      </w:r>
    </w:p>
    <w:p>
      <w:pPr>
        <w:sectPr>
          <w:footerReference w:type="default" r:id="rId3"/>
          <w:type w:val="nextPage"/>
          <w:pgSz w:w="11055" w:h="14740"/>
          <w:pgMar w:left="1134" w:right="1134" w:header="0" w:top="1134" w:footer="709" w:bottom="1134" w:gutter="0"/>
          <w:pgNumType w:start="349" w:fmt="decimal"/>
          <w:formProt w:val="false"/>
          <w:textDirection w:val="lrTb"/>
          <w:docGrid w:type="default" w:linePitch="360" w:charSpace="0"/>
        </w:sect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 детстве мальчик жил на Таганке, в трех минутах ходьбы от Спасо-Андроникова монастыря, куда часто ходил гулять, бродил по развалинам и смотрел на каменные надгробия со старорусской вязью. Быть может, уже тогда в нем родился ученый-историк? Мальчику было очень любопытно смотреть на древние буквы, которые не мог прочесть, но все равно пытался понять, какой в них скрыт смысл. В последние годы, давно достигнув «пенсионного возраста», он все чаще вспоминает те годы и думает о детстве.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Жизненный путь и творческое подвижничество юбиляра тесно связаны с целым рядом ведущих отечественных и зарубежных научно-образовательных центров: с одной стороны, с традициями и школой Института стран Азии и Африки Московского университета, с другой стороны, с несколькими институтами Академии наук (Институт Дальнего Востока, Институт этнографии, ИНИОН), а в последние годы — с Факультетом мировой экономики и мировой политики НИУ ВШЭ. Трудовой путь В. В. Малявина включал в себя также длительные стажировки и работу за рубежом — Сингапур, Япония, Китай, Тайвань, парижская Сорбонна, университеты США, руководство Институтом России в Тамканском университете (Тайвань). Отдельная сфера — исследования и размышления В. В. Малявина о судьбе России, русской культуры и истории, о ее сопряженности с судьбами и проблемами всей Евразии, о специфике русской провинции, персональном и трансперсональном представительстве «русского мира». Не случайны поэтому частые поездки ученого в последние годы в Сибирь и на Дальний Восток, широкие контакты с представителями научной общественности целого ряда регионов России, находящихся за Уралом.</w:t>
      </w:r>
    </w:p>
    <w:p>
      <w:pPr>
        <w:pStyle w:val="Normal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Будучи блестящим востоковедом и оригинальным мыслителем, знатоком китайского, японского и нескольких европейских языков, Владимир Вячеславович еще и великолепный оратор, который, благодаря своему фирменному парадоксальному стилю и отточенным формулировкам, умеет не только талантливо рассказать о поисках «души Азии» и прочих экзистенциальных темах, но также заинтриговать и озадачить слушателей, побудить их к выходу за рамки привычных стереотипов, вдохновить на интеллектуальные усилия, творческие со-общение и со-бытийность, на постижение глубинной, запредельной «бездны смыслов» и «средоточия» тонких прозрений. Его лекции в стенах Московского университета (на историческом факультете и в Институте стран Азии и Африки), а также в других университетах и научных центрах, до сих пор с благодарностью вспоминают несколько поколений бывших студентов, а его ученики (давно уже сами доктора и профессора!) продолжают воспитание молодых китаеведов плечо к плечу со своим наставником.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Работы В. В. Малявина, а это десятки книг и сотни статей на многих языках, посвященные истории, философии, великим мыслителям древнего Китая, диалогу культур Востока и Запада, заслуженно снискали высокую оценку ученых и специалистов. Одновременно они находят множество благодарных поклонников среди молодых востоковедов, студентов, аспирантов, а также самого широкого круга читателей, интересующихся Востоком. В последние два десятка лет, благодаря бурному развитию информационных технологий, плоды неустанных интеллектуальных и духовных поисков ученого, будь то труды и размышления про жизнь Конфуция, «Сумерки Дао» или судьбы всей китайской цивилизации, стали еще более известными и обрели воистину глобальную аудиторию.</w:t>
      </w:r>
    </w:p>
    <w:p>
      <w:pPr>
        <w:pStyle w:val="Normal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Отдавая должное внимание традиционным методикам работы с классическими китайским текстами, Владимир Вячеславович утверждает, что ставит для себя и решает особую сверхзадачу: «уйти за текст, уйти в жизнь, в реальный опыт, из которого этот текст происходит». Вместе с тем, по признанию юбиляра, главным интересом для него было и остается изучение живого ядра китайской культуры, которое может быть и всемирным, формирующим так называемый «Всемирный Чайнатаун». Как универсальный китаевед, В. В. Малявин стремится изучать не отдельные факты и явления китайской жизни, а понять мудрость Китая, насколько это возможно сделать без академических экивоков. Что таится в самой глубине китайской души, каким образом китайцы отвечают на фундаментальные вопросы жизни? Поэтому назвать главную тему его исследований достаточно просто — Китайская Мудрость.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Свой «юбилейный год» В. В. Малявин встречает на родине (в Москве и ближнем Подмосковье), на пике творческой формы и популярности. От всей души желаем Владимиру Вячеславовичу крепкого «даосского» здоровья и долголетия, бодрости и жизненного оптимизма, достижения новых духовных вершин, а также, подобно Конфуцию в семьдесят лет, чутко следовать знакам Неба и желаниям своего сердца!</w:t>
      </w:r>
    </w:p>
    <w:p>
      <w:pPr>
        <w:pStyle w:val="Normal"/>
        <w:ind w:end="-31" w:firstLine="720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В. Ц. Головачёв, А. Н. Карнеев и другие коллеги-востоковеды</w:t>
      </w:r>
    </w:p>
    <w:sectPr>
      <w:headerReference w:type="default" r:id="rId4"/>
      <w:footerReference w:type="default" r:id="rId5"/>
      <w:type w:val="nextPage"/>
      <w:pgSz w:w="11055" w:h="14740"/>
      <w:pgMar w:left="1134" w:right="1134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Times">
    <w:altName w:val="Times New Roman"/>
    <w:charset w:val="00" w:characterSet="windows-1252"/>
    <w:family w:val="roman"/>
    <w:pitch w:val="variable"/>
  </w:font>
  <w:font w:name="Garamond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67335" cy="162560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6"/>
                            <w:rPr>
                              <w:rStyle w:val="Style17"/>
                              <w:rFonts w:ascii="Garamond" w:hAnsi="Garamond" w:cs="Garamond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350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21.05pt;height:12.8pt;mso-wrap-distance-left:0pt;mso-wrap-distance-right:0pt;mso-wrap-distance-top:0pt;mso-wrap-distance-bottom:0pt;margin-top:0.05pt;mso-position-vertical-relative:text;margin-left:209.1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6"/>
                      <w:rPr>
                        <w:rStyle w:val="Style17"/>
                        <w:rFonts w:ascii="Garamond" w:hAnsi="Garamond" w:cs="Garamond"/>
                        <w:sz w:val="22"/>
                        <w:szCs w:val="22"/>
                      </w:rPr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350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0" allowOverlap="1" relativeHeight="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67335" cy="162560"/>
              <wp:effectExtent l="0" t="0" r="0" b="0"/>
              <wp:wrapSquare wrapText="largest"/>
              <wp:docPr id="3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6"/>
                            <w:rPr/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352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21.05pt;height:12.8pt;mso-wrap-distance-left:0pt;mso-wrap-distance-right:0pt;mso-wrap-distance-top:0pt;mso-wrap-distance-bottom:0pt;margin-top:0.05pt;mso-position-vertical-relative:text;margin-left:209.1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6"/>
                      <w:rPr/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352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820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</w:tblPr>
    <w:tblGrid>
      <w:gridCol w:w="8820"/>
    </w:tblGrid>
    <w:tr>
      <w:trPr/>
      <w:tc>
        <w:tcPr>
          <w:tcW w:w="8820" w:type="dxa"/>
          <w:tcBorders>
            <w:bottom w:val="single" w:sz="12" w:space="0" w:color="000000"/>
          </w:tcBorders>
        </w:tcPr>
        <w:p>
          <w:pPr>
            <w:pStyle w:val="Style28"/>
            <w:jc w:val="center"/>
            <w:rPr>
              <w:rFonts w:ascii="Garamond" w:hAnsi="Garamond" w:cs="Garamond"/>
              <w:color w:val="000000"/>
            </w:rPr>
          </w:pPr>
          <w:r>
            <w:rPr>
              <w:rFonts w:cs="Garamond" w:ascii="Garamond" w:hAnsi="Garamond"/>
              <w:bCs/>
            </w:rPr>
            <w:t xml:space="preserve">«Я хочу уйти за текст, уйти в жизнь»: </w:t>
          </w:r>
          <w:r>
            <w:rPr>
              <w:rFonts w:cs="Garamond" w:ascii="Garamond" w:hAnsi="Garamond"/>
            </w:rPr>
            <w:t>к 70-летию востоковеда Владимира Вячеславовича Малявина</w:t>
          </w:r>
        </w:p>
        <w:p>
          <w:pPr>
            <w:pStyle w:val="Style28"/>
            <w:jc w:val="center"/>
            <w:rPr>
              <w:rFonts w:ascii="Garamond" w:hAnsi="Garamond" w:cs="Garamond"/>
              <w:color w:val="000000"/>
              <w:sz w:val="8"/>
              <w:szCs w:val="8"/>
            </w:rPr>
          </w:pPr>
          <w:r>
            <w:rPr>
              <w:rFonts w:cs="Garamond" w:ascii="Garamond" w:hAnsi="Garamond"/>
              <w:color w:val="000000"/>
              <w:sz w:val="8"/>
              <w:szCs w:val="8"/>
            </w:rPr>
          </w:r>
        </w:p>
      </w:tc>
    </w:tr>
  </w:tbl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pStyle w:val="5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5">
    <w:name w:val="Heading 5"/>
    <w:basedOn w:val="Normal"/>
    <w:next w:val="Style21"/>
    <w:qFormat/>
    <w:pPr>
      <w:numPr>
        <w:ilvl w:val="4"/>
        <w:numId w:val="1"/>
      </w:numPr>
      <w:spacing w:before="280" w:after="280"/>
      <w:outlineLvl w:val="4"/>
    </w:pPr>
    <w:rPr>
      <w:rFonts w:ascii="Times" w:hAnsi="Times" w:eastAsia="MS Mincho;MS Gothic" w:cs="Times New Roman"/>
      <w:b/>
      <w:bCs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3">
    <w:name w:val="Основной шрифт абзаца"/>
    <w:qFormat/>
    <w:rPr/>
  </w:style>
  <w:style w:type="character" w:styleId="FooterChar">
    <w:name w:val="Footer Char"/>
    <w:qFormat/>
    <w:rPr>
      <w:rFonts w:ascii="Times New Roman" w:hAnsi="Times New Roman" w:eastAsia="Times New Roman" w:cs="Times New Roman"/>
      <w:sz w:val="20"/>
      <w:szCs w:val="20"/>
    </w:rPr>
  </w:style>
  <w:style w:type="character" w:styleId="FootnoteTextChar">
    <w:name w:val="Footnote Text Char"/>
    <w:qFormat/>
    <w:rPr>
      <w:rFonts w:ascii="Times New Roman" w:hAnsi="Times New Roman" w:eastAsia="Times New Roman" w:cs="Times New Roman"/>
    </w:rPr>
  </w:style>
  <w:style w:type="character" w:styleId="Style14">
    <w:name w:val="Символ сноски"/>
    <w:qFormat/>
    <w:rPr>
      <w:vertAlign w:val="superscript"/>
    </w:rPr>
  </w:style>
  <w:style w:type="character" w:styleId="BodyTextChar">
    <w:name w:val="Body Text Char"/>
    <w:qFormat/>
    <w:rPr>
      <w:rFonts w:ascii="Times New Roman" w:hAnsi="Times New Roman" w:cs="Times New Roman"/>
      <w:b/>
      <w:bCs/>
      <w:sz w:val="18"/>
      <w:szCs w:val="18"/>
      <w:lang w:val="en-US"/>
    </w:rPr>
  </w:style>
  <w:style w:type="character" w:styleId="Appleconvertedspace">
    <w:name w:val="apple-converted-space"/>
    <w:basedOn w:val="Style13"/>
    <w:qFormat/>
    <w:rPr/>
  </w:style>
  <w:style w:type="character" w:styleId="Heading5Char">
    <w:name w:val="Heading 5 Char"/>
    <w:qFormat/>
    <w:rPr>
      <w:rFonts w:ascii="Times" w:hAnsi="Times" w:cs="Times"/>
      <w:b/>
      <w:bCs/>
      <w:sz w:val="20"/>
      <w:szCs w:val="20"/>
    </w:rPr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Style17">
    <w:name w:val="Номер страницы"/>
    <w:basedOn w:val="Style13"/>
    <w:rPr/>
  </w:style>
  <w:style w:type="character" w:styleId="Style18">
    <w:name w:val="Выделение"/>
    <w:qFormat/>
    <w:rPr>
      <w:i/>
      <w:iCs/>
    </w:rPr>
  </w:style>
  <w:style w:type="character" w:styleId="Style19">
    <w:name w:val=" Знак Знак"/>
    <w:qFormat/>
    <w:rPr>
      <w:lang w:val="ru-RU" w:bidi="ar-SA"/>
    </w:rPr>
  </w:style>
  <w:style w:type="character" w:styleId="WW8Dropcap0">
    <w:name w:val="WW8Dropcap0"/>
    <w:qFormat/>
    <w:rPr>
      <w:rFonts w:ascii="Garamond" w:hAnsi="Garamond" w:cs="Garamond"/>
      <w:sz w:val="110"/>
      <w:szCs w:val="24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1">
    <w:name w:val="Body Text"/>
    <w:basedOn w:val="Normal"/>
    <w:pPr>
      <w:widowControl w:val="false"/>
      <w:autoSpaceDE w:val="false"/>
      <w:ind w:start="40" w:hanging="0"/>
    </w:pPr>
    <w:rPr>
      <w:rFonts w:eastAsia="MS Mincho;MS Gothic"/>
      <w:b/>
      <w:bCs/>
      <w:sz w:val="18"/>
      <w:szCs w:val="18"/>
      <w:lang w:val="en-US"/>
    </w:rPr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Style25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6">
    <w:name w:val="Footer"/>
    <w:basedOn w:val="Normal"/>
    <w:pPr/>
    <w:rPr/>
  </w:style>
  <w:style w:type="paragraph" w:styleId="Style27">
    <w:name w:val="Footnote Text"/>
    <w:basedOn w:val="Normal"/>
    <w:pPr/>
    <w:rPr>
      <w:sz w:val="24"/>
      <w:szCs w:val="24"/>
    </w:rPr>
  </w:style>
  <w:style w:type="paragraph" w:styleId="ListParagraph">
    <w:name w:val="List Paragraph"/>
    <w:basedOn w:val="Normal"/>
    <w:qFormat/>
    <w:pPr>
      <w:spacing w:before="0" w:after="0"/>
      <w:ind w:start="720" w:hanging="0"/>
      <w:contextualSpacing/>
    </w:pPr>
    <w:rPr/>
  </w:style>
  <w:style w:type="paragraph" w:styleId="Style28">
    <w:name w:val="Header"/>
    <w:basedOn w:val="Normal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9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Msonormalmailrucssattributepostfix">
    <w:name w:val="msonormal_mailru_css_attribute_postfix"/>
    <w:basedOn w:val="Normal"/>
    <w:qFormat/>
    <w:pPr>
      <w:spacing w:before="280" w:after="280"/>
    </w:pPr>
    <w:rPr>
      <w:sz w:val="24"/>
      <w:szCs w:val="24"/>
    </w:rPr>
  </w:style>
  <w:style w:type="paragraph" w:styleId="Style30">
    <w:name w:val="Содержимое таблицы"/>
    <w:basedOn w:val="Normal"/>
    <w:qFormat/>
    <w:pPr>
      <w:widowControl w:val="false"/>
      <w:suppressLineNumbers/>
    </w:pPr>
    <w:rPr/>
  </w:style>
  <w:style w:type="paragraph" w:styleId="Style31">
    <w:name w:val="Заголовок таблицы"/>
    <w:basedOn w:val="Style30"/>
    <w:qFormat/>
    <w:pPr>
      <w:suppressLineNumbers/>
      <w:jc w:val="center"/>
    </w:pPr>
    <w:rPr>
      <w:b/>
      <w:bCs/>
    </w:rPr>
  </w:style>
  <w:style w:type="paragraph" w:styleId="Style32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header" Target="head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Application>LibreOffice/7.0.3.1$Linux_X86_64 LibreOffice_project/00$Build-1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2018-03-18T22:15:00Z</dcterms:created>
  <dc:creator>Vestnik IOS RAS</dc:creator>
  <dc:description/>
  <cp:keywords> </cp:keywords>
  <dc:language>ru-RU</dc:language>
  <cp:lastModifiedBy>Malykh</cp:lastModifiedBy>
  <dcterms:modified xsi:type="dcterms:W3CDTF">2020-12-15T19:31:00Z</dcterms:modified>
  <cp:revision>171</cp:revision>
  <dc:subject/>
  <dc:title>РУБРИКА: РЕЦЕНЗИИ; к юбилею ИВ РАН (</dc:title>
</cp:coreProperties>
</file>