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end="-31" w:hanging="0"/>
        <w:jc w:val="center"/>
        <w:rPr>
          <w:rFonts w:ascii="Garamond" w:hAnsi="Garamond" w:cs="Garamond"/>
          <w:b/>
          <w:b/>
          <w:caps/>
          <w:sz w:val="24"/>
          <w:szCs w:val="24"/>
          <w:lang w:val="en-US"/>
        </w:rPr>
      </w:pPr>
      <w:r>
        <w:rPr>
          <w:rFonts w:cs="Garamond" w:ascii="Garamond" w:hAnsi="Garamond"/>
          <w:b/>
          <w:caps/>
          <w:sz w:val="24"/>
          <w:szCs w:val="24"/>
          <w:lang w:val="en-US"/>
        </w:rPr>
        <w:t>In memoriam</w:t>
      </w:r>
    </w:p>
    <w:tbl>
      <w:tblPr>
        <w:tblW w:w="8820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8820"/>
      </w:tblGrid>
      <w:tr>
        <w:trPr/>
        <w:tc>
          <w:tcPr>
            <w:tcW w:w="8820" w:type="dxa"/>
            <w:tcBorders>
              <w:bottom w:val="thickThinMediumGap" w:sz="24" w:space="0" w:color="000000"/>
            </w:tcBorders>
          </w:tcPr>
          <w:p>
            <w:pPr>
              <w:pStyle w:val="Normal"/>
              <w:snapToGrid w:val="false"/>
              <w:ind w:end="-31" w:hanging="0"/>
              <w:jc w:val="center"/>
              <w:rPr>
                <w:rFonts w:ascii="Garamond" w:hAnsi="Garamond" w:cs="Garamond"/>
                <w:b/>
                <w:b/>
                <w:caps/>
                <w:sz w:val="12"/>
                <w:szCs w:val="12"/>
              </w:rPr>
            </w:pPr>
            <w:r>
              <w:rPr>
                <w:rFonts w:cs="Garamond" w:ascii="Garamond" w:hAnsi="Garamond"/>
                <w:b/>
                <w:caps/>
                <w:sz w:val="12"/>
                <w:szCs w:val="12"/>
              </w:rPr>
            </w:r>
          </w:p>
        </w:tc>
      </w:tr>
    </w:tbl>
    <w:p>
      <w:pPr>
        <w:pStyle w:val="Normal"/>
        <w:ind w:end="-31" w:hanging="0"/>
        <w:jc w:val="center"/>
        <w:rPr>
          <w:rFonts w:ascii="Garamond" w:hAnsi="Garamond" w:cs="Garamond"/>
          <w:caps/>
          <w:sz w:val="24"/>
          <w:szCs w:val="24"/>
        </w:rPr>
      </w:pPr>
      <w:r>
        <w:rPr>
          <w:rFonts w:cs="Garamond" w:ascii="Garamond" w:hAnsi="Garamond"/>
          <w:caps/>
          <w:sz w:val="24"/>
          <w:szCs w:val="24"/>
        </w:rPr>
      </w:r>
    </w:p>
    <w:p>
      <w:pPr>
        <w:pStyle w:val="Normal"/>
        <w:ind w:end="-31" w:hanging="0"/>
        <w:jc w:val="center"/>
        <w:rPr>
          <w:rFonts w:ascii="Garamond" w:hAnsi="Garamond" w:cs="Garamond"/>
          <w:caps/>
          <w:sz w:val="24"/>
          <w:szCs w:val="24"/>
        </w:rPr>
      </w:pPr>
      <w:r>
        <w:rPr>
          <w:rFonts w:cs="Garamond" w:ascii="Garamond" w:hAnsi="Garamond"/>
          <w:caps/>
          <w:sz w:val="24"/>
          <w:szCs w:val="24"/>
        </w:rPr>
      </w:r>
    </w:p>
    <w:p>
      <w:pPr>
        <w:pStyle w:val="Normal"/>
        <w:ind w:end="-31" w:hanging="0"/>
        <w:jc w:val="center"/>
        <w:rPr>
          <w:rFonts w:ascii="Garamond" w:hAnsi="Garamond" w:cs="Garamond"/>
          <w:caps/>
          <w:sz w:val="24"/>
          <w:szCs w:val="24"/>
        </w:rPr>
      </w:pPr>
      <w:r>
        <w:rPr>
          <w:rFonts w:cs="Garamond" w:ascii="Garamond" w:hAnsi="Garamond"/>
          <w:sz w:val="22"/>
          <w:szCs w:val="22"/>
        </w:rPr>
        <w:drawing>
          <wp:inline distT="0" distB="0" distL="0" distR="0">
            <wp:extent cx="2809875" cy="2827020"/>
            <wp:effectExtent l="0" t="0" r="0" b="0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8" t="-7" r="-8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end="-31" w:hanging="0"/>
        <w:jc w:val="center"/>
        <w:rPr>
          <w:rFonts w:ascii="Garamond" w:hAnsi="Garamond" w:cs="Garamond"/>
          <w:caps/>
          <w:sz w:val="24"/>
          <w:szCs w:val="24"/>
        </w:rPr>
      </w:pPr>
      <w:r>
        <w:rPr>
          <w:rFonts w:cs="Garamond" w:ascii="Garamond" w:hAnsi="Garamond"/>
          <w:caps/>
          <w:sz w:val="24"/>
          <w:szCs w:val="24"/>
        </w:rPr>
      </w:r>
    </w:p>
    <w:p>
      <w:pPr>
        <w:pStyle w:val="Normal"/>
        <w:ind w:end="-31" w:hanging="0"/>
        <w:jc w:val="center"/>
        <w:rPr>
          <w:rFonts w:ascii="Garamond" w:hAnsi="Garamond" w:cs="Garamond"/>
          <w:caps/>
          <w:sz w:val="24"/>
          <w:szCs w:val="24"/>
        </w:rPr>
      </w:pPr>
      <w:r>
        <w:rPr>
          <w:rFonts w:cs="Garamond" w:ascii="Garamond" w:hAnsi="Garamond"/>
          <w:caps/>
          <w:sz w:val="24"/>
          <w:szCs w:val="24"/>
        </w:rPr>
      </w:r>
    </w:p>
    <w:p>
      <w:pPr>
        <w:pStyle w:val="Normal"/>
        <w:ind w:end="-31" w:hanging="0"/>
        <w:jc w:val="center"/>
        <w:rPr/>
      </w:pPr>
      <w:r>
        <w:rPr>
          <w:rFonts w:cs="Garamond" w:ascii="Garamond" w:hAnsi="Garamond"/>
          <w:b/>
          <w:sz w:val="26"/>
          <w:szCs w:val="26"/>
        </w:rPr>
        <w:t>ВСПОМИНАЯ О. Е. НЕПОМНИНА (1935–2020)</w:t>
      </w:r>
    </w:p>
    <w:p>
      <w:pPr>
        <w:pStyle w:val="Normal"/>
        <w:ind w:end="-31" w:hanging="0"/>
        <w:jc w:val="both"/>
        <w:rPr>
          <w:rFonts w:ascii="Garamond" w:hAnsi="Garamond" w:cs="Garamond"/>
          <w:b/>
          <w:b/>
          <w:sz w:val="24"/>
          <w:szCs w:val="24"/>
        </w:rPr>
      </w:pPr>
      <w:r>
        <w:rPr>
          <w:rFonts w:cs="Garamond" w:ascii="Garamond" w:hAnsi="Garamond"/>
          <w:b/>
          <w:sz w:val="24"/>
          <w:szCs w:val="24"/>
        </w:rPr>
      </w:r>
    </w:p>
    <w:p>
      <w:pPr>
        <w:pStyle w:val="Normal"/>
        <w:ind w:end="-31" w:hanging="0"/>
        <w:jc w:val="both"/>
        <w:rPr/>
      </w:pPr>
      <w:r>
        <w:rPr/>
        <w:t>31</w:t>
      </w:r>
      <w:r>
        <w:rPr>
          <w:rFonts w:cs="Garamond" w:ascii="Garamond" w:hAnsi="Garamond"/>
          <w:sz w:val="24"/>
          <w:szCs w:val="24"/>
        </w:rPr>
        <w:t xml:space="preserve"> октября 2020 г. не стало Олега Ефимовича Непомнина — прекрасного ученого, доктора исторических наук</w:t>
      </w:r>
      <w:r>
        <w:rPr>
          <w:rStyle w:val="Extendedtextshort"/>
          <w:rFonts w:cs="Garamond" w:ascii="Garamond" w:hAnsi="Garamond"/>
          <w:sz w:val="24"/>
          <w:szCs w:val="24"/>
        </w:rPr>
        <w:t xml:space="preserve">, одного из ведущих специалистов в области </w:t>
      </w:r>
      <w:r>
        <w:rPr>
          <w:rFonts w:cs="Garamond" w:ascii="Garamond" w:hAnsi="Garamond"/>
          <w:sz w:val="24"/>
          <w:szCs w:val="24"/>
        </w:rPr>
        <w:t xml:space="preserve">социально-экономической </w:t>
      </w:r>
      <w:r>
        <w:rPr>
          <w:rStyle w:val="Extendedtextshort"/>
          <w:rFonts w:cs="Garamond" w:ascii="Garamond" w:hAnsi="Garamond"/>
          <w:sz w:val="24"/>
          <w:szCs w:val="24"/>
        </w:rPr>
        <w:t>истории Китая Нового и Новейшего времени.</w:t>
      </w:r>
      <w:r>
        <w:rPr>
          <w:rFonts w:cs="Garamond" w:ascii="Garamond" w:hAnsi="Garamond"/>
          <w:sz w:val="24"/>
          <w:szCs w:val="24"/>
        </w:rPr>
        <w:t xml:space="preserve"> Его работы внесли огромный вклад в развитие отечественного китаеведения. 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О. Е. Непомнин родился 3 мая 1935 г. в Москве. Его отец работал в издательстве — заведовал отделом «Гознака». Семья его матери В. П. Тунковой была тесно связана с театральной средой. По словам самого Олега Ефимовича, его дед П. И. Тунков «стал артистом какой-то бродячей труппы, а потом, постепенно, без всякого образования, но с талантом от природы выбился в профессиональные артисты» [</w:t>
      </w:r>
      <w:r>
        <w:rPr>
          <w:rFonts w:cs="Garamond" w:ascii="Garamond" w:hAnsi="Garamond"/>
          <w:iCs/>
          <w:sz w:val="24"/>
          <w:szCs w:val="24"/>
        </w:rPr>
        <w:t>Горбунов, 2013, с. </w:t>
      </w:r>
      <w:r>
        <w:rPr>
          <w:rFonts w:cs="Garamond" w:ascii="Garamond" w:hAnsi="Garamond"/>
          <w:sz w:val="24"/>
          <w:szCs w:val="24"/>
        </w:rPr>
        <w:t>173–176]. По природе он отличался удивительной порядочностью — например, «деньги ему сдавали, как в банк, всегда знали, что не пропадет ни копейки». После знакомства с золотопромышленником и меценатом К. Незлобиным, основавшим свой «Театр К. Незлобина»</w:t>
      </w:r>
      <w:r>
        <w:rPr>
          <w:rStyle w:val="Style14"/>
          <w:rStyle w:val="Style20"/>
          <w:rFonts w:cs="Garamond" w:ascii="Garamond" w:hAnsi="Garamond"/>
          <w:sz w:val="24"/>
          <w:szCs w:val="24"/>
        </w:rPr>
        <w:footnoteReference w:id="2"/>
      </w:r>
      <w:r>
        <w:rPr>
          <w:rFonts w:cs="Garamond" w:ascii="Garamond" w:hAnsi="Garamond"/>
          <w:sz w:val="24"/>
          <w:szCs w:val="24"/>
        </w:rPr>
        <w:t>, П. И. Тунков после долгих уговоров стал управляющим, оставаясь на этом посту до самой смерти в 1940 г.</w:t>
      </w:r>
    </w:p>
    <w:p>
      <w:pPr>
        <w:sectPr>
          <w:footerReference w:type="default" r:id="rId3"/>
          <w:footnotePr>
            <w:numFmt w:val="decimal"/>
          </w:footnotePr>
          <w:type w:val="nextPage"/>
          <w:pgSz w:w="11055" w:h="14740"/>
          <w:pgMar w:left="1134" w:right="1134" w:header="0" w:top="1134" w:footer="709" w:bottom="1134" w:gutter="0"/>
          <w:pgNumType w:start="352" w:fmt="decimal"/>
          <w:formProt w:val="false"/>
          <w:textDirection w:val="lrTb"/>
          <w:docGrid w:type="default" w:linePitch="360" w:charSpace="0"/>
        </w:sect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Олег Ефимович также вспоминал со слов матери, что его деда связывала тесная дружба с самим великим Федором Шаляпиным: «Они были почти одногодки, друзья детства, да и оба стали артистами. Шаляпин захаживал к Павлу как к себе домой. Отношения их всегда были самыми теплыми. Поэтому случалось, что в минуты</w:t>
      </w:r>
    </w:p>
    <w:p>
      <w:pPr>
        <w:pStyle w:val="Normal"/>
        <w:ind w:end="-31" w:hanging="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 xml:space="preserve">расстройства, когда Шаляпин не хотел выходить на сцену, а спектакль должен вот-вот начинаться, из Большого театра посылали гонца к Павлу Тункову, благо, что он находился рядом. И Павлу без особого труда удавалось уговорить Шаляпина не срывать спектакль». Читая эти строки, начинаешь отчетливее понимать, что творческая среда, в которой рос О. Е. Непомнин, и люди, его окружавшие, безусловно, оказали большое влияние на его мировоззрение и формирование как личности. 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В 1953 г. О. Е. Непомнин поступил на восточное отделение исторического факультета МГУ. По словам известного отечественного китаеведа, сокурсника Олега Ефимовича Алексея Анатольевича Бокщанина, в тот год «</w:t>
      </w:r>
      <w:r>
        <w:rPr>
          <w:rFonts w:eastAsia="TimesNewRomanPSMT;MS Gothic" w:cs="Garamond" w:ascii="Garamond" w:hAnsi="Garamond"/>
          <w:sz w:val="24"/>
          <w:szCs w:val="24"/>
        </w:rPr>
        <w:t>восточному отделению исторического факультета дали расширенные вакансии на изучение Китая и стран Востока» [</w:t>
      </w:r>
      <w:r>
        <w:rPr>
          <w:rFonts w:cs="Garamond" w:ascii="Garamond" w:hAnsi="Garamond"/>
          <w:iCs/>
          <w:sz w:val="24"/>
          <w:szCs w:val="24"/>
        </w:rPr>
        <w:t>Российское китаеведение — устная история</w:t>
      </w:r>
      <w:r>
        <w:rPr>
          <w:rFonts w:cs="Garamond" w:ascii="Garamond" w:hAnsi="Garamond"/>
          <w:bCs/>
          <w:sz w:val="24"/>
          <w:szCs w:val="24"/>
        </w:rPr>
        <w:t>, 2018, с. 22</w:t>
      </w:r>
      <w:r>
        <w:rPr>
          <w:rFonts w:eastAsia="TimesNewRomanPSMT;MS Gothic" w:cs="Garamond" w:ascii="Garamond" w:hAnsi="Garamond"/>
          <w:sz w:val="24"/>
          <w:szCs w:val="24"/>
        </w:rPr>
        <w:t>]</w:t>
      </w:r>
      <w:r>
        <w:rPr>
          <w:rFonts w:cs="Garamond" w:ascii="Garamond" w:hAnsi="Garamond"/>
          <w:sz w:val="24"/>
          <w:szCs w:val="24"/>
        </w:rPr>
        <w:t>.</w:t>
      </w:r>
      <w:r>
        <w:rPr>
          <w:rFonts w:eastAsia="TimesNewRomanPSMT;MS Gothic" w:cs="Garamond" w:ascii="Garamond" w:hAnsi="Garamond"/>
          <w:sz w:val="24"/>
          <w:szCs w:val="24"/>
        </w:rPr>
        <w:t xml:space="preserve"> Среди тех, у кого учился</w:t>
      </w:r>
      <w:r>
        <w:rPr>
          <w:rFonts w:cs="Garamond" w:ascii="Garamond" w:hAnsi="Garamond"/>
          <w:sz w:val="24"/>
          <w:szCs w:val="24"/>
        </w:rPr>
        <w:t xml:space="preserve"> Олег Ефимович, можно вспомнить имена Л. В. </w:t>
      </w:r>
      <w:r>
        <w:rPr>
          <w:rFonts w:eastAsia="TimesNewRomanPS-ItalicMT;MS Gothic" w:cs="Garamond" w:ascii="Garamond" w:hAnsi="Garamond"/>
          <w:iCs/>
          <w:sz w:val="24"/>
          <w:szCs w:val="24"/>
        </w:rPr>
        <w:t>Симоновской, Г. Б. Эренбурга</w:t>
      </w:r>
      <w:r>
        <w:rPr>
          <w:rFonts w:eastAsia="TimesNewRomanPSMT;MS Gothic" w:cs="Garamond" w:ascii="Garamond" w:hAnsi="Garamond"/>
          <w:sz w:val="24"/>
          <w:szCs w:val="24"/>
        </w:rPr>
        <w:t xml:space="preserve">, </w:t>
      </w:r>
      <w:r>
        <w:rPr>
          <w:rFonts w:eastAsia="TimesNewRomanPS-ItalicMT;MS Gothic" w:cs="Garamond" w:ascii="Garamond" w:hAnsi="Garamond"/>
          <w:iCs/>
          <w:sz w:val="24"/>
          <w:szCs w:val="24"/>
        </w:rPr>
        <w:t>М. Ф. Юрьева</w:t>
      </w:r>
      <w:r>
        <w:rPr>
          <w:rFonts w:eastAsia="TimesNewRomanPSMT;MS Gothic" w:cs="Garamond" w:ascii="Garamond" w:hAnsi="Garamond"/>
          <w:sz w:val="24"/>
          <w:szCs w:val="24"/>
        </w:rPr>
        <w:t xml:space="preserve">. Интересно, что в институте </w:t>
      </w:r>
      <w:r>
        <w:rPr>
          <w:rFonts w:cs="Garamond" w:ascii="Garamond" w:hAnsi="Garamond"/>
          <w:sz w:val="24"/>
          <w:szCs w:val="24"/>
        </w:rPr>
        <w:t xml:space="preserve">за обширные познания и окладистую бороду друзья-студенты в шутку называли Олега «Карлом Марксом». </w:t>
      </w:r>
      <w:r>
        <w:rPr>
          <w:rFonts w:eastAsia="TimesNewRomanPSMT;MS Gothic" w:cs="Garamond" w:ascii="Garamond" w:hAnsi="Garamond"/>
          <w:sz w:val="24"/>
          <w:szCs w:val="24"/>
        </w:rPr>
        <w:t xml:space="preserve">Увлечение О. Е. Непомнина китайской историей было столь велико, что в определенный момент они с Натальей Ивановной Фоминой и другими друзьями-сокурсниками даже основали на факультете неформальное Московское студенческое общество по изучению Китая (МОБ(С)ИК). 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eastAsia="TimesNewRomanPSMT;MS Gothic" w:cs="Garamond" w:ascii="Garamond" w:hAnsi="Garamond"/>
          <w:sz w:val="24"/>
          <w:szCs w:val="24"/>
        </w:rPr>
        <w:t>Начиная с 1958 г., п</w:t>
      </w:r>
      <w:r>
        <w:rPr>
          <w:rFonts w:cs="Garamond" w:ascii="Garamond" w:hAnsi="Garamond"/>
          <w:sz w:val="24"/>
          <w:szCs w:val="24"/>
        </w:rPr>
        <w:t>олучив диплом с отличием, О. Е. Непомнин по распределению поступил на работу в Институт китаеведения (1958–1960), впоследствии вошедший в состав Института востоковедения Академии Наук. Вначале Олег Ефимович работал в Отделе Китая, а с 1989 г. — в Отделе истории Востока</w:t>
      </w:r>
      <w:r>
        <w:rPr>
          <w:rFonts w:cs="Garamond" w:ascii="Garamond" w:hAnsi="Garamond"/>
          <w:iCs/>
          <w:sz w:val="24"/>
          <w:szCs w:val="24"/>
        </w:rPr>
        <w:t>, где на протяжении многих лет возглавлял Сектор цивилизационных и региональных проблем</w:t>
      </w:r>
      <w:r>
        <w:rPr>
          <w:rFonts w:cs="Garamond" w:ascii="Garamond" w:hAnsi="Garamond"/>
          <w:sz w:val="24"/>
          <w:szCs w:val="24"/>
        </w:rPr>
        <w:t>. По окончании заочной аспирантуры в 1965 г. О. Е. Непомнин защитил кандидатскую диссертацию по теме «Генезис капитализма в сельском хозяйстве Китая», а в 1984 г. — докторскую диссертацию «Социально-экономическая история Китая. 1894–1914 гг.»</w:t>
      </w:r>
    </w:p>
    <w:p>
      <w:pPr>
        <w:pStyle w:val="Normal"/>
        <w:ind w:end="-31" w:firstLine="720"/>
        <w:jc w:val="both"/>
        <w:rPr/>
      </w:pPr>
      <w:r>
        <w:rPr>
          <w:rFonts w:cs="Garamond" w:ascii="Garamond" w:hAnsi="Garamond"/>
          <w:sz w:val="24"/>
          <w:szCs w:val="24"/>
        </w:rPr>
        <w:t>О. Е. Непомнин является автором свыше 120 научных трудов, среди которых такие работы, как «Положение китайской деревни в эпоху Цин», «Синтез в переходном обществе: Китай на грани эпох», «История Китая. Эпоха Цин. XVII — начало ХХ в.», «Типология азиатских обществ», «История Китая. ХХ век», VI т. многотомной «Истории Китая с древнейших времен до начала XXI века. Династия Цин (1644–1911 гг.)»</w:t>
      </w:r>
      <w:r>
        <w:rPr>
          <w:rStyle w:val="Style14"/>
          <w:rStyle w:val="Style20"/>
          <w:rFonts w:cs="Garamond" w:ascii="Garamond" w:hAnsi="Garamond"/>
          <w:sz w:val="24"/>
          <w:szCs w:val="24"/>
        </w:rPr>
        <w:footnoteReference w:id="3"/>
      </w:r>
      <w:r>
        <w:rPr>
          <w:rFonts w:cs="Garamond" w:ascii="Garamond" w:hAnsi="Garamond"/>
          <w:sz w:val="24"/>
          <w:szCs w:val="24"/>
        </w:rPr>
        <w:t>, где он выступил в качестве разработчика концепции, руководителя авторского коллектива, автора ряда глав</w:t>
      </w:r>
      <w:r>
        <w:rPr>
          <w:rStyle w:val="Style14"/>
          <w:rStyle w:val="Style20"/>
          <w:rFonts w:cs="Garamond" w:ascii="Garamond" w:hAnsi="Garamond"/>
          <w:sz w:val="24"/>
          <w:szCs w:val="24"/>
        </w:rPr>
        <w:footnoteReference w:id="4"/>
      </w:r>
      <w:r>
        <w:rPr>
          <w:rFonts w:cs="Garamond" w:ascii="Garamond" w:hAnsi="Garamond"/>
          <w:sz w:val="24"/>
          <w:szCs w:val="24"/>
        </w:rPr>
        <w:t xml:space="preserve"> и ответственного редактора</w:t>
      </w:r>
      <w:r>
        <w:rPr>
          <w:rStyle w:val="Style14"/>
          <w:rStyle w:val="Style20"/>
          <w:rFonts w:cs="Garamond" w:ascii="Garamond" w:hAnsi="Garamond"/>
          <w:sz w:val="24"/>
          <w:szCs w:val="24"/>
        </w:rPr>
        <w:footnoteReference w:id="5"/>
      </w:r>
      <w:r>
        <w:rPr>
          <w:rFonts w:cs="Garamond" w:ascii="Garamond" w:hAnsi="Garamond"/>
          <w:sz w:val="24"/>
          <w:szCs w:val="24"/>
        </w:rPr>
        <w:t>.</w:t>
      </w:r>
    </w:p>
    <w:p>
      <w:pPr>
        <w:pStyle w:val="Normal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 xml:space="preserve">С точки зрения научного вклада, который О. Е. Непомнин внес в развитие отечественного китаеведения, наиболее ценно, прежде всего, теоретическое обоснование концепции циклического развития Китая в Новое время, подразумевающей последовательную смену династийных циклов. В ходе научных изысканий Олег Ефимович уделял особое внимание главным отличительным чертам восточных обществ — повышенной роли государства, жесткой централизации, преобладанию вертикальных социальных связей, господству аппарата, приоритету распределения над свободной торговлей и т. д. В результате у него сложилось свое понимание причин устойчивости азиатского способа производства и его огромных регенерационных возможностей. </w:t>
      </w:r>
    </w:p>
    <w:p>
      <w:pPr>
        <w:pStyle w:val="Normal"/>
        <w:ind w:end="-31" w:firstLine="720"/>
        <w:jc w:val="both"/>
        <w:rPr/>
      </w:pPr>
      <w:r>
        <w:rPr>
          <w:rFonts w:cs="Garamond" w:ascii="Garamond" w:hAnsi="Garamond"/>
          <w:sz w:val="24"/>
          <w:szCs w:val="24"/>
        </w:rPr>
        <w:t>Вместе с тем в своих исследованиях О. Е. Непомнин уделял большое внимание вопросам, связанным с особенностями развития современного Китая. По его словам, несмотря на активную глобализацию мира, деление на Восток и Запад до сих пор продолжает существовать, поскольку западная модель подразумевает прежде всего индивида, а восточная, напротив, коллектив</w:t>
      </w:r>
      <w:r>
        <w:rPr>
          <w:rStyle w:val="Style14"/>
          <w:rStyle w:val="Style20"/>
          <w:rFonts w:cs="Garamond" w:ascii="Garamond" w:hAnsi="Garamond"/>
          <w:sz w:val="24"/>
          <w:szCs w:val="24"/>
        </w:rPr>
        <w:footnoteReference w:id="6"/>
      </w:r>
      <w:r>
        <w:rPr>
          <w:rFonts w:cs="Garamond" w:ascii="Garamond" w:hAnsi="Garamond"/>
          <w:sz w:val="24"/>
          <w:szCs w:val="24"/>
        </w:rPr>
        <w:t xml:space="preserve">. С того момента, когда Запад взял за основу «античную модель», началось противостояние двух цивилизаций. В результате, он «…откусывает от восточного гиганта кусок за куском, превращая азиатскую деспотию в общество». Правда, несмотря на вестернизацию Китая, которая наблюдается, прежде всего, на побережье и анклавах, т. е., касаясь лишь части населения, «в глубине души все китайцы по-прежнему остаются ханьцами», убежденными, «что китайская культура — высочайшая в мире, и делают все, чтобы, вестернизируясь, сохранить себя». И все же, несмотря на это, между Востоком и Западом постепенно стираются определенные границы, приводя их к взаимному обогащению. </w:t>
      </w:r>
    </w:p>
    <w:p>
      <w:pPr>
        <w:pStyle w:val="Normal"/>
        <w:ind w:end="-31" w:firstLine="720"/>
        <w:jc w:val="both"/>
        <w:rPr/>
      </w:pPr>
      <w:r>
        <w:rPr>
          <w:rFonts w:cs="Garamond" w:ascii="Garamond" w:hAnsi="Garamond"/>
          <w:sz w:val="24"/>
          <w:szCs w:val="24"/>
        </w:rPr>
        <w:t>Безусловно, О. Е. Непомнин был человеком, влюбленным в свою профессию, при этом он посвящал много времени не только научной деятельности, но и преподаванию. Так,</w:t>
      </w:r>
      <w:r>
        <w:rPr>
          <w:rFonts w:cs="Garamond" w:ascii="Garamond" w:hAnsi="Garamond"/>
          <w:iCs/>
          <w:sz w:val="24"/>
          <w:szCs w:val="24"/>
        </w:rPr>
        <w:t xml:space="preserve"> в качестве профессора Центра политологии и антропологии современного Востока РГГУ, он курировал Китайское отделение, во многом сформированное благодаря его усилиям.</w:t>
      </w:r>
      <w:r>
        <w:rPr>
          <w:rFonts w:cs="Garamond" w:ascii="Garamond" w:hAnsi="Garamond"/>
          <w:i/>
          <w:iCs/>
          <w:sz w:val="24"/>
          <w:szCs w:val="24"/>
        </w:rPr>
        <w:t xml:space="preserve"> </w:t>
      </w:r>
      <w:r>
        <w:rPr>
          <w:rFonts w:cs="Garamond" w:ascii="Garamond" w:hAnsi="Garamond"/>
          <w:sz w:val="24"/>
          <w:szCs w:val="24"/>
        </w:rPr>
        <w:t>Будучи прекрасным специалистом, он также был замечательным лектором, чьи выступления «имели звучание и цвет», отличались ярким стилем изложения материала. Многие люди, хорошо знакомые с Олегом Ефимовичем, отмечают, что «его очень любили и уважали все студенты, а он, в свою очередь, любил и уважал их»</w:t>
      </w:r>
      <w:r>
        <w:rPr>
          <w:rStyle w:val="Style14"/>
          <w:rStyle w:val="Style20"/>
          <w:rFonts w:cs="Garamond" w:ascii="Garamond" w:hAnsi="Garamond"/>
          <w:sz w:val="24"/>
          <w:szCs w:val="24"/>
        </w:rPr>
        <w:footnoteReference w:id="7"/>
      </w:r>
      <w:r>
        <w:rPr>
          <w:rFonts w:cs="Garamond" w:ascii="Garamond" w:hAnsi="Garamond"/>
          <w:sz w:val="24"/>
          <w:szCs w:val="24"/>
        </w:rPr>
        <w:t xml:space="preserve">. </w:t>
      </w:r>
    </w:p>
    <w:p>
      <w:pPr>
        <w:pStyle w:val="Normal"/>
        <w:autoSpaceDE w:val="false"/>
        <w:ind w:end="-31" w:firstLine="720"/>
        <w:jc w:val="both"/>
        <w:rPr/>
      </w:pPr>
      <w:r>
        <w:rPr>
          <w:rFonts w:cs="Garamond" w:ascii="Garamond" w:hAnsi="Garamond"/>
          <w:sz w:val="24"/>
          <w:szCs w:val="24"/>
        </w:rPr>
        <w:t>Олег Ефимович относился к тому редкому и, пожалуй, вымирающему типу людей, о которых принято говорить «интеллигентный». Отличительными чертами его характера были неиссякаемое чувство юмора, доброжелательность и чувство такта. Олег Ефимович умел поддержать в трудную минуту, найти нужное слово и делал это очень естественно, по-дружески. Чувства, возникавшие при общении с ним, сродни тем, что нашли  отражение  в  строчках  стихотворения</w:t>
      </w:r>
      <w:r>
        <w:rPr>
          <w:rStyle w:val="Style14"/>
          <w:rStyle w:val="Style20"/>
          <w:rFonts w:cs="Garamond" w:ascii="Garamond" w:hAnsi="Garamond"/>
          <w:sz w:val="24"/>
          <w:szCs w:val="24"/>
        </w:rPr>
        <w:footnoteReference w:id="8"/>
      </w:r>
      <w:r>
        <w:rPr>
          <w:rFonts w:cs="Garamond" w:ascii="Garamond" w:hAnsi="Garamond"/>
          <w:sz w:val="24"/>
          <w:szCs w:val="24"/>
        </w:rPr>
        <w:t xml:space="preserve">  Н. И. Фоминой,  ученого-китаеведа, которая дружила с ним на протяжении многих лет:</w:t>
      </w:r>
    </w:p>
    <w:p>
      <w:pPr>
        <w:pStyle w:val="Normal"/>
        <w:autoSpaceDE w:val="false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Когда в висках сверкает седина,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Как среди осени нежданные снежинки,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То вспоминаешь прошлого картинки,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В колодце времени мне ближе глубина.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  <w:lang w:val="en-US"/>
        </w:rPr>
      </w:pPr>
      <w:r>
        <w:rPr>
          <w:rFonts w:cs="Garamond" w:ascii="Garamond" w:hAnsi="Garamond"/>
          <w:sz w:val="24"/>
          <w:szCs w:val="24"/>
          <w:lang w:val="en-US"/>
        </w:rPr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Листая годы, как альбомные страницы,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Я берегу вниманья каждый знак,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Он может быть серьезен иль пустяк,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Но в сердце почему-то он хранится: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16"/>
          <w:szCs w:val="16"/>
        </w:rPr>
      </w:pPr>
      <w:r>
        <w:rPr>
          <w:rFonts w:cs="Garamond" w:ascii="Garamond" w:hAnsi="Garamond"/>
          <w:sz w:val="16"/>
          <w:szCs w:val="16"/>
        </w:rPr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И разговор, где час казался мигом,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Улыбка друга или нежный взгляд,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Так редкости музейные хранят —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Любой предмет уже окутан мифом.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16"/>
          <w:szCs w:val="16"/>
        </w:rPr>
      </w:pPr>
      <w:r>
        <w:rPr>
          <w:rFonts w:cs="Garamond" w:ascii="Garamond" w:hAnsi="Garamond"/>
          <w:sz w:val="16"/>
          <w:szCs w:val="16"/>
        </w:rPr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Друзья, к вам нежных чувств не перечесть,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Их невозможно выразить словами.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Спасибо вам за то, что все вы есть,</w:t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За то, что сердце вечно полно вами.</w:t>
      </w:r>
    </w:p>
    <w:p>
      <w:pPr>
        <w:pStyle w:val="Normal"/>
        <w:ind w:end="-31" w:firstLine="720"/>
        <w:jc w:val="both"/>
        <w:rPr>
          <w:rFonts w:ascii="Garamond" w:hAnsi="Garamond" w:cs="Garamond"/>
          <w:i/>
          <w:i/>
          <w:iCs/>
          <w:sz w:val="24"/>
          <w:szCs w:val="24"/>
        </w:rPr>
      </w:pPr>
      <w:r>
        <w:rPr>
          <w:rFonts w:cs="Garamond" w:ascii="Garamond" w:hAnsi="Garamond"/>
          <w:i/>
          <w:iCs/>
          <w:sz w:val="24"/>
          <w:szCs w:val="24"/>
        </w:rPr>
      </w:r>
    </w:p>
    <w:p>
      <w:pPr>
        <w:pStyle w:val="Normal"/>
        <w:autoSpaceDE w:val="false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  <w:t>Когда из жизни уходят такие люди, как О. Е. Непомнин, с новой силой приходит понимание утраты чего-то важного и безвозвратно ушедшего не только с точки зрения профессионализма, но и с позиции высоких моральных качеств, примером которых он был всю жизнь. Говоря словами Конфуция, он жил, «следуя желаниям сердца и не преступая меры» — именно таким он и запомнится нам навсегда.</w:t>
      </w:r>
    </w:p>
    <w:p>
      <w:pPr>
        <w:pStyle w:val="Normal"/>
        <w:autoSpaceDE w:val="false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</w:r>
    </w:p>
    <w:p>
      <w:pPr>
        <w:pStyle w:val="Normal"/>
        <w:autoSpaceDE w:val="false"/>
        <w:ind w:end="-31" w:firstLine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</w:r>
    </w:p>
    <w:p>
      <w:pPr>
        <w:pStyle w:val="Normal"/>
        <w:autoSpaceDE w:val="false"/>
        <w:ind w:end="-31" w:firstLine="720"/>
        <w:jc w:val="end"/>
        <w:rPr>
          <w:rFonts w:ascii="Garamond" w:hAnsi="Garamond" w:cs="Garamond"/>
          <w:i/>
          <w:i/>
          <w:sz w:val="24"/>
          <w:szCs w:val="24"/>
        </w:rPr>
      </w:pPr>
      <w:r>
        <w:rPr>
          <w:rFonts w:cs="Garamond" w:ascii="Garamond" w:hAnsi="Garamond"/>
          <w:i/>
          <w:sz w:val="24"/>
          <w:szCs w:val="24"/>
        </w:rPr>
        <w:t xml:space="preserve">Отдел истории Востока — коллеги, друзья и ученики </w:t>
      </w:r>
    </w:p>
    <w:p>
      <w:pPr>
        <w:pStyle w:val="Normal"/>
        <w:ind w:end="-31" w:firstLine="720"/>
        <w:jc w:val="center"/>
        <w:rPr>
          <w:rFonts w:ascii="Garamond" w:hAnsi="Garamond" w:cs="Garamond"/>
          <w:i/>
          <w:i/>
          <w:sz w:val="24"/>
          <w:szCs w:val="24"/>
        </w:rPr>
      </w:pPr>
      <w:r>
        <w:rPr>
          <w:rFonts w:cs="Garamond" w:ascii="Garamond" w:hAnsi="Garamond"/>
          <w:i/>
          <w:sz w:val="24"/>
          <w:szCs w:val="24"/>
        </w:rPr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</w:r>
    </w:p>
    <w:p>
      <w:pPr>
        <w:pStyle w:val="Normal"/>
        <w:ind w:end="-31" w:firstLine="720"/>
        <w:jc w:val="center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</w:r>
    </w:p>
    <w:p>
      <w:pPr>
        <w:pStyle w:val="Normal"/>
        <w:ind w:end="-31" w:firstLine="720"/>
        <w:jc w:val="both"/>
        <w:rPr>
          <w:rFonts w:ascii="Garamond" w:hAnsi="Garamond" w:cs="Garamond"/>
          <w:b/>
          <w:b/>
          <w:smallCaps/>
          <w:sz w:val="24"/>
          <w:szCs w:val="24"/>
        </w:rPr>
      </w:pPr>
      <w:r>
        <w:rPr>
          <w:rFonts w:cs="Garamond" w:ascii="Garamond" w:hAnsi="Garamond"/>
          <w:b/>
          <w:smallCaps/>
          <w:sz w:val="24"/>
          <w:szCs w:val="24"/>
        </w:rPr>
        <w:t>Основные научные труды О. Е. Непомнина</w:t>
      </w:r>
    </w:p>
    <w:p>
      <w:pPr>
        <w:pStyle w:val="Normal"/>
        <w:ind w:end="-31" w:firstLine="720"/>
        <w:jc w:val="both"/>
        <w:rPr>
          <w:rFonts w:ascii="Garamond" w:hAnsi="Garamond" w:cs="Garamond"/>
          <w:b/>
          <w:b/>
          <w:smallCaps/>
          <w:sz w:val="8"/>
          <w:szCs w:val="8"/>
        </w:rPr>
      </w:pPr>
      <w:r>
        <w:rPr>
          <w:rFonts w:cs="Garamond" w:ascii="Garamond" w:hAnsi="Garamond"/>
          <w:b/>
          <w:smallCaps/>
          <w:sz w:val="8"/>
          <w:szCs w:val="8"/>
        </w:rPr>
      </w:r>
    </w:p>
    <w:p>
      <w:pPr>
        <w:pStyle w:val="Normal"/>
        <w:ind w:start="720" w:end="-31" w:hanging="720"/>
        <w:jc w:val="both"/>
        <w:rPr/>
      </w:pPr>
      <w:r>
        <w:rPr>
          <w:rFonts w:cs="Garamond" w:ascii="Garamond" w:hAnsi="Garamond"/>
          <w:i/>
          <w:iCs/>
          <w:sz w:val="24"/>
          <w:szCs w:val="24"/>
        </w:rPr>
        <w:t>Генезис капитализма в сельском хозяйстве Китая</w:t>
      </w:r>
      <w:r>
        <w:rPr>
          <w:rFonts w:cs="Garamond" w:ascii="Garamond" w:hAnsi="Garamond"/>
          <w:sz w:val="24"/>
          <w:szCs w:val="24"/>
        </w:rPr>
        <w:t>. М., 1966.</w:t>
      </w:r>
    </w:p>
    <w:p>
      <w:pPr>
        <w:pStyle w:val="Normal"/>
        <w:ind w:start="720" w:end="-31" w:hanging="720"/>
        <w:jc w:val="both"/>
        <w:rPr/>
      </w:pPr>
      <w:r>
        <w:rPr>
          <w:rFonts w:cs="Garamond" w:ascii="Garamond" w:hAnsi="Garamond"/>
          <w:i/>
          <w:iCs/>
          <w:sz w:val="24"/>
          <w:szCs w:val="24"/>
        </w:rPr>
        <w:t>Положение китайской деревни в эпоху Цин</w:t>
      </w:r>
      <w:r>
        <w:rPr>
          <w:rFonts w:cs="Garamond" w:ascii="Garamond" w:hAnsi="Garamond"/>
          <w:sz w:val="24"/>
          <w:szCs w:val="24"/>
        </w:rPr>
        <w:t>. М., 1968.</w:t>
      </w:r>
    </w:p>
    <w:p>
      <w:pPr>
        <w:pStyle w:val="Normal"/>
        <w:ind w:start="720" w:end="-31" w:hanging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i/>
          <w:iCs/>
          <w:sz w:val="24"/>
          <w:szCs w:val="24"/>
        </w:rPr>
        <w:t>Экономическая история Китая (1864–1894).</w:t>
      </w:r>
      <w:r>
        <w:rPr>
          <w:rFonts w:cs="Garamond" w:ascii="Garamond" w:hAnsi="Garamond"/>
          <w:sz w:val="24"/>
          <w:szCs w:val="24"/>
        </w:rPr>
        <w:t xml:space="preserve"> </w:t>
      </w:r>
      <w:r>
        <w:rPr>
          <w:rStyle w:val="Citation"/>
          <w:rFonts w:cs="Garamond" w:ascii="Garamond" w:hAnsi="Garamond"/>
          <w:sz w:val="24"/>
          <w:szCs w:val="24"/>
        </w:rPr>
        <w:t>М., 1974.</w:t>
      </w:r>
    </w:p>
    <w:p>
      <w:pPr>
        <w:pStyle w:val="Normal"/>
        <w:ind w:start="720" w:end="-31" w:hanging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i/>
          <w:iCs/>
          <w:sz w:val="24"/>
          <w:szCs w:val="24"/>
        </w:rPr>
        <w:t>Социально-экономическая история Китая. 1894–1914</w:t>
      </w:r>
      <w:r>
        <w:rPr>
          <w:rFonts w:cs="Garamond" w:ascii="Garamond" w:hAnsi="Garamond"/>
          <w:sz w:val="24"/>
          <w:szCs w:val="24"/>
        </w:rPr>
        <w:t>. Коллективная монография. Ответственный редактор и автор 13 из 18 глав.</w:t>
      </w:r>
      <w:r>
        <w:rPr>
          <w:rStyle w:val="Citation"/>
          <w:rFonts w:cs="Garamond" w:ascii="Garamond" w:hAnsi="Garamond"/>
          <w:sz w:val="24"/>
          <w:szCs w:val="24"/>
        </w:rPr>
        <w:t xml:space="preserve"> М., 1980. </w:t>
      </w:r>
    </w:p>
    <w:p>
      <w:pPr>
        <w:pStyle w:val="Normal"/>
        <w:ind w:start="720" w:end="-31" w:hanging="720"/>
        <w:jc w:val="both"/>
        <w:rPr/>
      </w:pPr>
      <w:r>
        <w:rPr>
          <w:rFonts w:cs="Garamond" w:ascii="Garamond" w:hAnsi="Garamond"/>
          <w:i/>
          <w:iCs/>
          <w:sz w:val="24"/>
          <w:szCs w:val="24"/>
        </w:rPr>
        <w:t>Синтез в переходном обществе: Китай на грани эпох</w:t>
      </w:r>
      <w:r>
        <w:rPr>
          <w:rFonts w:cs="Garamond" w:ascii="Garamond" w:hAnsi="Garamond"/>
          <w:sz w:val="24"/>
          <w:szCs w:val="24"/>
        </w:rPr>
        <w:t>. М., 1999.</w:t>
      </w:r>
    </w:p>
    <w:p>
      <w:pPr>
        <w:pStyle w:val="Normal"/>
        <w:ind w:start="720" w:end="-31" w:hanging="720"/>
        <w:jc w:val="both"/>
        <w:rPr/>
      </w:pPr>
      <w:r>
        <w:rPr>
          <w:rFonts w:cs="Garamond" w:ascii="Garamond" w:hAnsi="Garamond"/>
          <w:i/>
          <w:iCs/>
          <w:sz w:val="24"/>
          <w:szCs w:val="24"/>
        </w:rPr>
        <w:t>Лики Срединного царства: Занимательные и познавательные сюжеты средневековой истории Китая</w:t>
      </w:r>
      <w:r>
        <w:rPr>
          <w:rFonts w:cs="Garamond" w:ascii="Garamond" w:hAnsi="Garamond"/>
          <w:sz w:val="24"/>
          <w:szCs w:val="24"/>
        </w:rPr>
        <w:t>. М., 2002.</w:t>
      </w:r>
    </w:p>
    <w:p>
      <w:pPr>
        <w:pStyle w:val="Normal"/>
        <w:ind w:start="720" w:end="-31" w:hanging="720"/>
        <w:jc w:val="both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i/>
          <w:iCs/>
          <w:sz w:val="24"/>
          <w:szCs w:val="24"/>
        </w:rPr>
        <w:t>История Китая. Эпоха Цин. XVII – начало ХХ в.</w:t>
      </w:r>
      <w:r>
        <w:rPr>
          <w:rFonts w:cs="Garamond" w:ascii="Garamond" w:hAnsi="Garamond"/>
          <w:sz w:val="24"/>
          <w:szCs w:val="24"/>
        </w:rPr>
        <w:t xml:space="preserve"> </w:t>
      </w:r>
      <w:r>
        <w:rPr>
          <w:rFonts w:cs="Garamond" w:ascii="Garamond" w:hAnsi="Garamond"/>
          <w:sz w:val="24"/>
          <w:szCs w:val="24"/>
          <w:shd w:fill="FFFFFF" w:val="clear"/>
        </w:rPr>
        <w:t xml:space="preserve">М., 2005. </w:t>
      </w:r>
    </w:p>
    <w:p>
      <w:pPr>
        <w:pStyle w:val="Normal"/>
        <w:ind w:start="720" w:end="-31" w:hanging="720"/>
        <w:jc w:val="both"/>
        <w:rPr/>
      </w:pPr>
      <w:r>
        <w:rPr>
          <w:rFonts w:cs="Garamond" w:ascii="Garamond" w:hAnsi="Garamond"/>
          <w:i/>
          <w:iCs/>
          <w:sz w:val="24"/>
          <w:szCs w:val="24"/>
        </w:rPr>
        <w:t>Типология азиатских обществ.</w:t>
      </w:r>
      <w:r>
        <w:rPr>
          <w:rFonts w:cs="Garamond" w:ascii="Garamond" w:hAnsi="Garamond"/>
          <w:sz w:val="24"/>
          <w:szCs w:val="24"/>
        </w:rPr>
        <w:t xml:space="preserve"> М., 2010.</w:t>
      </w:r>
    </w:p>
    <w:p>
      <w:pPr>
        <w:pStyle w:val="Normal"/>
        <w:ind w:start="720" w:end="-31" w:hanging="720"/>
        <w:jc w:val="both"/>
        <w:rPr/>
      </w:pPr>
      <w:r>
        <w:rPr>
          <w:rFonts w:cs="Garamond" w:ascii="Garamond" w:hAnsi="Garamond"/>
          <w:i/>
          <w:iCs/>
          <w:sz w:val="24"/>
          <w:szCs w:val="24"/>
        </w:rPr>
        <w:t>История Китая. Древность. Средневековье. Новое время</w:t>
      </w:r>
      <w:r>
        <w:rPr>
          <w:rFonts w:cs="Garamond" w:ascii="Garamond" w:hAnsi="Garamond"/>
          <w:sz w:val="24"/>
          <w:szCs w:val="24"/>
        </w:rPr>
        <w:t>. М., 2010.</w:t>
      </w:r>
    </w:p>
    <w:p>
      <w:pPr>
        <w:pStyle w:val="Normal"/>
        <w:ind w:start="720" w:end="-31" w:hanging="720"/>
        <w:jc w:val="both"/>
        <w:rPr/>
      </w:pPr>
      <w:r>
        <w:rPr>
          <w:rFonts w:cs="Garamond" w:ascii="Garamond" w:hAnsi="Garamond"/>
          <w:i/>
          <w:iCs/>
          <w:sz w:val="24"/>
          <w:szCs w:val="24"/>
        </w:rPr>
        <w:t>История Китая. ХХ век</w:t>
      </w:r>
      <w:r>
        <w:rPr>
          <w:rFonts w:cs="Garamond" w:ascii="Garamond" w:hAnsi="Garamond"/>
          <w:sz w:val="24"/>
          <w:szCs w:val="24"/>
        </w:rPr>
        <w:t xml:space="preserve">. </w:t>
      </w:r>
      <w:r>
        <w:rPr>
          <w:rStyle w:val="Citation"/>
          <w:rFonts w:cs="Garamond" w:ascii="Garamond" w:hAnsi="Garamond"/>
          <w:sz w:val="24"/>
          <w:szCs w:val="24"/>
        </w:rPr>
        <w:t xml:space="preserve">М., </w:t>
      </w:r>
      <w:r>
        <w:rPr>
          <w:rFonts w:cs="Garamond" w:ascii="Garamond" w:hAnsi="Garamond"/>
          <w:sz w:val="24"/>
          <w:szCs w:val="24"/>
        </w:rPr>
        <w:t>2011.</w:t>
      </w:r>
    </w:p>
    <w:p>
      <w:pPr>
        <w:pStyle w:val="Normal"/>
        <w:ind w:start="720" w:end="-31" w:hanging="720"/>
        <w:jc w:val="both"/>
        <w:rPr/>
      </w:pPr>
      <w:r>
        <w:rPr>
          <w:rFonts w:cs="Garamond" w:ascii="Garamond" w:hAnsi="Garamond"/>
          <w:i/>
          <w:iCs/>
          <w:sz w:val="24"/>
          <w:szCs w:val="24"/>
        </w:rPr>
        <w:t>История Китая с древнейших времен до начала XXI века. Династия Цин (1644–1911 гг.).</w:t>
      </w:r>
      <w:r>
        <w:rPr>
          <w:rFonts w:cs="Garamond" w:ascii="Garamond" w:hAnsi="Garamond"/>
          <w:sz w:val="24"/>
          <w:szCs w:val="24"/>
        </w:rPr>
        <w:t xml:space="preserve"> Т. 6. М., 2014.</w:t>
      </w:r>
    </w:p>
    <w:p>
      <w:pPr>
        <w:pStyle w:val="Normal"/>
        <w:ind w:start="720" w:end="-31" w:hanging="720"/>
        <w:jc w:val="both"/>
        <w:textAlignment w:val="top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i/>
          <w:iCs/>
          <w:sz w:val="24"/>
          <w:szCs w:val="24"/>
        </w:rPr>
        <w:t>Китайская культура. Древность, Средневековье, Новое и Новейшее время</w:t>
      </w:r>
      <w:r>
        <w:rPr>
          <w:rFonts w:cs="Garamond" w:ascii="Garamond" w:hAnsi="Garamond"/>
          <w:sz w:val="24"/>
          <w:szCs w:val="24"/>
        </w:rPr>
        <w:t>. М., 2019.</w:t>
      </w:r>
    </w:p>
    <w:p>
      <w:pPr>
        <w:pStyle w:val="Normal"/>
        <w:ind w:start="720" w:end="-31" w:hanging="720"/>
        <w:jc w:val="both"/>
        <w:textAlignment w:val="top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</w:r>
    </w:p>
    <w:p>
      <w:pPr>
        <w:pStyle w:val="Normal"/>
        <w:ind w:start="720" w:end="-31" w:hanging="720"/>
        <w:jc w:val="both"/>
        <w:textAlignment w:val="top"/>
        <w:rPr>
          <w:rFonts w:ascii="Garamond" w:hAnsi="Garamond" w:cs="Garamond"/>
          <w:sz w:val="24"/>
          <w:szCs w:val="24"/>
        </w:rPr>
      </w:pPr>
      <w:r>
        <w:rPr>
          <w:rFonts w:cs="Garamond" w:ascii="Garamond" w:hAnsi="Garamond"/>
          <w:sz w:val="24"/>
          <w:szCs w:val="24"/>
        </w:rPr>
      </w:r>
    </w:p>
    <w:p>
      <w:pPr>
        <w:pStyle w:val="Normal"/>
        <w:ind w:start="720" w:end="-31" w:hanging="720"/>
        <w:jc w:val="both"/>
        <w:textAlignment w:val="top"/>
        <w:rPr>
          <w:rFonts w:ascii="Garamond" w:hAnsi="Garamond" w:cs="Garamond"/>
          <w:sz w:val="24"/>
          <w:szCs w:val="24"/>
          <w:lang w:val="en-US"/>
        </w:rPr>
      </w:pPr>
      <w:r>
        <w:rPr>
          <w:rFonts w:cs="Garamond" w:ascii="Garamond" w:hAnsi="Garamond"/>
          <w:sz w:val="24"/>
          <w:szCs w:val="24"/>
          <w:lang w:val="en-US"/>
        </w:rPr>
      </w:r>
    </w:p>
    <w:p>
      <w:pPr>
        <w:pStyle w:val="Normal"/>
        <w:ind w:start="720" w:end="-31" w:hanging="720"/>
        <w:jc w:val="both"/>
        <w:textAlignment w:val="top"/>
        <w:rPr>
          <w:rFonts w:ascii="Garamond" w:hAnsi="Garamond" w:cs="Garamond"/>
          <w:sz w:val="24"/>
          <w:szCs w:val="24"/>
          <w:lang w:val="en-US"/>
        </w:rPr>
      </w:pPr>
      <w:r>
        <w:rPr>
          <w:rFonts w:cs="Garamond" w:ascii="Garamond" w:hAnsi="Garamond"/>
          <w:sz w:val="24"/>
          <w:szCs w:val="24"/>
          <w:lang w:val="en-US"/>
        </w:rPr>
      </w:r>
    </w:p>
    <w:p>
      <w:pPr>
        <w:pStyle w:val="Normal"/>
        <w:ind w:start="720" w:end="-31" w:hanging="720"/>
        <w:jc w:val="center"/>
        <w:textAlignment w:val="top"/>
        <w:rPr/>
      </w:pPr>
      <w:r>
        <w:rPr>
          <w:rFonts w:cs="Garamond" w:ascii="Garamond" w:hAnsi="Garamond"/>
          <w:sz w:val="24"/>
          <w:szCs w:val="24"/>
        </w:rPr>
        <w:t xml:space="preserve">Литература / </w:t>
      </w:r>
      <w:r>
        <w:rPr>
          <w:rFonts w:cs="Garamond" w:ascii="Garamond" w:hAnsi="Garamond"/>
          <w:sz w:val="24"/>
          <w:szCs w:val="24"/>
          <w:lang w:val="en-US"/>
        </w:rPr>
        <w:t>References</w:t>
      </w:r>
    </w:p>
    <w:p>
      <w:pPr>
        <w:pStyle w:val="Normal"/>
        <w:ind w:start="720" w:end="-31" w:hanging="720"/>
        <w:jc w:val="both"/>
        <w:textAlignment w:val="top"/>
        <w:rPr>
          <w:rFonts w:ascii="Garamond" w:hAnsi="Garamond" w:cs="Garamond"/>
          <w:sz w:val="8"/>
          <w:szCs w:val="8"/>
          <w:lang w:val="en-US"/>
        </w:rPr>
      </w:pPr>
      <w:r>
        <w:rPr>
          <w:rFonts w:cs="Garamond" w:ascii="Garamond" w:hAnsi="Garamond"/>
          <w:sz w:val="8"/>
          <w:szCs w:val="8"/>
          <w:lang w:val="en-US"/>
        </w:rPr>
      </w:r>
    </w:p>
    <w:p>
      <w:pPr>
        <w:pStyle w:val="Normal"/>
        <w:ind w:start="720" w:end="-31" w:hanging="720"/>
        <w:jc w:val="both"/>
        <w:textAlignment w:val="top"/>
        <w:rPr/>
      </w:pPr>
      <w:r>
        <w:rPr>
          <w:rFonts w:cs="Garamond" w:ascii="Garamond" w:hAnsi="Garamond"/>
          <w:iCs/>
          <w:sz w:val="22"/>
          <w:szCs w:val="22"/>
        </w:rPr>
        <w:t>Горбунов Н. И.</w:t>
      </w:r>
      <w:r>
        <w:rPr>
          <w:rFonts w:cs="Garamond" w:ascii="Garamond" w:hAnsi="Garamond"/>
          <w:sz w:val="22"/>
          <w:szCs w:val="22"/>
        </w:rPr>
        <w:t xml:space="preserve"> </w:t>
      </w:r>
      <w:r>
        <w:rPr>
          <w:rFonts w:cs="Garamond" w:ascii="Garamond" w:hAnsi="Garamond"/>
          <w:i/>
          <w:iCs/>
          <w:sz w:val="22"/>
          <w:szCs w:val="22"/>
        </w:rPr>
        <w:t>Федор Шаляпин: от Казани до Стокгольма</w:t>
      </w:r>
      <w:r>
        <w:rPr>
          <w:rFonts w:cs="Garamond" w:ascii="Garamond" w:hAnsi="Garamond"/>
          <w:sz w:val="22"/>
          <w:szCs w:val="22"/>
        </w:rPr>
        <w:t>. М</w:t>
      </w:r>
      <w:r>
        <w:rPr>
          <w:rFonts w:cs="Garamond" w:ascii="Garamond" w:hAnsi="Garamond"/>
          <w:sz w:val="22"/>
          <w:szCs w:val="22"/>
          <w:lang w:val="en-US"/>
        </w:rPr>
        <w:t xml:space="preserve">., 2013 [Gorbunov N. I. </w:t>
      </w:r>
      <w:r>
        <w:rPr>
          <w:rFonts w:cs="Garamond" w:ascii="Garamond" w:hAnsi="Garamond"/>
          <w:i/>
          <w:sz w:val="22"/>
          <w:szCs w:val="22"/>
          <w:lang w:val="en-US"/>
        </w:rPr>
        <w:t>Fedor Chaliapin: from Kazan to Stockholm</w:t>
      </w:r>
      <w:r>
        <w:rPr>
          <w:rFonts w:cs="Garamond" w:ascii="Garamond" w:hAnsi="Garamond"/>
          <w:sz w:val="22"/>
          <w:szCs w:val="22"/>
          <w:lang w:val="en-US"/>
        </w:rPr>
        <w:t>. Moscow</w:t>
      </w:r>
      <w:r>
        <w:rPr>
          <w:rFonts w:cs="Garamond" w:ascii="Garamond" w:hAnsi="Garamond"/>
          <w:sz w:val="22"/>
          <w:szCs w:val="22"/>
        </w:rPr>
        <w:t>, 2013 (</w:t>
      </w:r>
      <w:r>
        <w:rPr>
          <w:rFonts w:cs="Garamond" w:ascii="Garamond" w:hAnsi="Garamond"/>
          <w:sz w:val="22"/>
          <w:szCs w:val="22"/>
          <w:lang w:val="en-US"/>
        </w:rPr>
        <w:t>in</w:t>
      </w:r>
      <w:r>
        <w:rPr>
          <w:rFonts w:cs="Garamond" w:ascii="Garamond" w:hAnsi="Garamond"/>
          <w:sz w:val="22"/>
          <w:szCs w:val="22"/>
        </w:rPr>
        <w:t xml:space="preserve"> </w:t>
      </w:r>
      <w:r>
        <w:rPr>
          <w:rFonts w:cs="Garamond" w:ascii="Garamond" w:hAnsi="Garamond"/>
          <w:sz w:val="22"/>
          <w:szCs w:val="22"/>
          <w:lang w:val="en-US"/>
        </w:rPr>
        <w:t>Russian</w:t>
      </w:r>
      <w:r>
        <w:rPr>
          <w:rFonts w:cs="Garamond" w:ascii="Garamond" w:hAnsi="Garamond"/>
          <w:sz w:val="22"/>
          <w:szCs w:val="22"/>
        </w:rPr>
        <w:t>)].</w:t>
      </w:r>
    </w:p>
    <w:p>
      <w:pPr>
        <w:pStyle w:val="Normal"/>
        <w:ind w:start="720" w:end="-31" w:hanging="720"/>
        <w:jc w:val="both"/>
        <w:textAlignment w:val="top"/>
        <w:rPr>
          <w:rFonts w:ascii="Garamond" w:hAnsi="Garamond" w:cs="Garamond"/>
          <w:sz w:val="22"/>
          <w:szCs w:val="22"/>
        </w:rPr>
      </w:pPr>
      <w:r>
        <w:rPr>
          <w:rFonts w:cs="Garamond" w:ascii="Garamond" w:hAnsi="Garamond"/>
          <w:sz w:val="22"/>
          <w:szCs w:val="22"/>
        </w:rPr>
        <w:t>Горбунова</w:t>
      </w:r>
      <w:r>
        <w:rPr>
          <w:rFonts w:cs="Garamond" w:ascii="Garamond" w:hAnsi="Garamond"/>
          <w:sz w:val="22"/>
          <w:szCs w:val="22"/>
          <w:lang w:val="en-US"/>
        </w:rPr>
        <w:t> </w:t>
      </w:r>
      <w:r>
        <w:rPr>
          <w:rFonts w:cs="Garamond" w:ascii="Garamond" w:hAnsi="Garamond"/>
          <w:sz w:val="22"/>
          <w:szCs w:val="22"/>
        </w:rPr>
        <w:t>Н.</w:t>
      </w:r>
      <w:r>
        <w:rPr>
          <w:rFonts w:cs="Garamond" w:ascii="Garamond" w:hAnsi="Garamond"/>
          <w:sz w:val="22"/>
          <w:szCs w:val="22"/>
          <w:lang w:val="en-US"/>
        </w:rPr>
        <w:t> </w:t>
      </w:r>
      <w:r>
        <w:rPr>
          <w:rFonts w:cs="Garamond" w:ascii="Garamond" w:hAnsi="Garamond"/>
          <w:sz w:val="22"/>
          <w:szCs w:val="22"/>
        </w:rPr>
        <w:t>М., Ланда</w:t>
      </w:r>
      <w:r>
        <w:rPr>
          <w:rFonts w:cs="Garamond" w:ascii="Garamond" w:hAnsi="Garamond"/>
          <w:sz w:val="22"/>
          <w:szCs w:val="22"/>
          <w:lang w:val="en-US"/>
        </w:rPr>
        <w:t> </w:t>
      </w:r>
      <w:r>
        <w:rPr>
          <w:rFonts w:cs="Garamond" w:ascii="Garamond" w:hAnsi="Garamond"/>
          <w:sz w:val="22"/>
          <w:szCs w:val="22"/>
        </w:rPr>
        <w:t>Р.</w:t>
      </w:r>
      <w:r>
        <w:rPr>
          <w:rFonts w:cs="Garamond" w:ascii="Garamond" w:hAnsi="Garamond"/>
          <w:sz w:val="22"/>
          <w:szCs w:val="22"/>
          <w:lang w:val="en-US"/>
        </w:rPr>
        <w:t> </w:t>
      </w:r>
      <w:r>
        <w:rPr>
          <w:rFonts w:cs="Garamond" w:ascii="Garamond" w:hAnsi="Garamond"/>
          <w:sz w:val="22"/>
          <w:szCs w:val="22"/>
        </w:rPr>
        <w:t>Г., Чарыева</w:t>
      </w:r>
      <w:r>
        <w:rPr>
          <w:rFonts w:cs="Garamond" w:ascii="Garamond" w:hAnsi="Garamond"/>
          <w:sz w:val="22"/>
          <w:szCs w:val="22"/>
          <w:lang w:val="en-US"/>
        </w:rPr>
        <w:t> </w:t>
      </w:r>
      <w:r>
        <w:rPr>
          <w:rFonts w:cs="Garamond" w:ascii="Garamond" w:hAnsi="Garamond"/>
          <w:sz w:val="22"/>
          <w:szCs w:val="22"/>
        </w:rPr>
        <w:t>Н.</w:t>
      </w:r>
      <w:r>
        <w:rPr>
          <w:rFonts w:cs="Garamond" w:ascii="Garamond" w:hAnsi="Garamond"/>
          <w:sz w:val="22"/>
          <w:szCs w:val="22"/>
          <w:lang w:val="en-US"/>
        </w:rPr>
        <w:t> </w:t>
      </w:r>
      <w:r>
        <w:rPr>
          <w:rFonts w:cs="Garamond" w:ascii="Garamond" w:hAnsi="Garamond"/>
          <w:sz w:val="22"/>
          <w:szCs w:val="22"/>
        </w:rPr>
        <w:t>К. Николай Алексеевич Иванов, Олег</w:t>
      </w:r>
      <w:r>
        <w:rPr>
          <w:rFonts w:cs="Garamond" w:ascii="Garamond" w:hAnsi="Garamond"/>
          <w:sz w:val="22"/>
          <w:szCs w:val="22"/>
          <w:lang w:val="en-US"/>
        </w:rPr>
        <w:t> </w:t>
      </w:r>
      <w:r>
        <w:rPr>
          <w:rFonts w:cs="Garamond" w:ascii="Garamond" w:hAnsi="Garamond"/>
          <w:sz w:val="22"/>
          <w:szCs w:val="22"/>
        </w:rPr>
        <w:t xml:space="preserve">Ефимович Непомнин и Петр Михайлович Шаститко — вклад трех ученых Института востоковедения РАН в изучение Востока. </w:t>
      </w:r>
      <w:r>
        <w:rPr>
          <w:rFonts w:cs="Garamond" w:ascii="Garamond" w:hAnsi="Garamond"/>
          <w:i/>
          <w:sz w:val="22"/>
          <w:szCs w:val="22"/>
        </w:rPr>
        <w:t>Вестник Института востоковедения РАН</w:t>
      </w:r>
      <w:r>
        <w:rPr>
          <w:rFonts w:cs="Garamond" w:ascii="Garamond" w:hAnsi="Garamond"/>
          <w:sz w:val="22"/>
          <w:szCs w:val="22"/>
        </w:rPr>
        <w:t xml:space="preserve">. 2018. </w:t>
      </w:r>
      <w:r>
        <w:rPr>
          <w:rFonts w:cs="Garamond" w:ascii="Garamond" w:hAnsi="Garamond"/>
          <w:sz w:val="22"/>
          <w:szCs w:val="22"/>
          <w:lang w:val="en-US"/>
        </w:rPr>
        <w:t xml:space="preserve">№ 4. </w:t>
      </w:r>
      <w:r>
        <w:rPr>
          <w:rFonts w:cs="Garamond" w:ascii="Garamond" w:hAnsi="Garamond"/>
          <w:sz w:val="22"/>
          <w:szCs w:val="22"/>
        </w:rPr>
        <w:t>С</w:t>
      </w:r>
      <w:r>
        <w:rPr>
          <w:rFonts w:cs="Garamond" w:ascii="Garamond" w:hAnsi="Garamond"/>
          <w:sz w:val="22"/>
          <w:szCs w:val="22"/>
          <w:lang w:val="en-US"/>
        </w:rPr>
        <w:t xml:space="preserve">. 184–191 [Gorbunova N. M., Landa R. G., Charyeva N. K. Nikolay A. Ivanov, Oleg E. Nepomnin, and Petr M. Shastitko: Three IOS RAS Scholars’ Input in Oriental Studies. </w:t>
      </w:r>
      <w:r>
        <w:rPr>
          <w:rFonts w:cs="Garamond" w:ascii="Garamond" w:hAnsi="Garamond"/>
          <w:i/>
          <w:sz w:val="22"/>
          <w:szCs w:val="22"/>
          <w:lang w:val="en-US"/>
        </w:rPr>
        <w:t>Vestnik Instituta vostokovedenija RAN</w:t>
      </w:r>
      <w:r>
        <w:rPr>
          <w:rFonts w:cs="Garamond" w:ascii="Garamond" w:hAnsi="Garamond"/>
          <w:sz w:val="22"/>
          <w:szCs w:val="22"/>
          <w:lang w:val="en-US"/>
        </w:rPr>
        <w:t>. 2018. 4. Pp. 184–191 (in Russian)].</w:t>
      </w:r>
    </w:p>
    <w:p>
      <w:pPr>
        <w:pStyle w:val="Normal"/>
        <w:ind w:start="720" w:end="-31" w:hanging="720"/>
        <w:jc w:val="both"/>
        <w:textAlignment w:val="top"/>
        <w:rPr/>
      </w:pPr>
      <w:r>
        <w:rPr>
          <w:rFonts w:cs="Garamond" w:ascii="Garamond" w:hAnsi="Garamond"/>
          <w:i/>
          <w:iCs/>
          <w:sz w:val="22"/>
          <w:szCs w:val="22"/>
        </w:rPr>
        <w:t>История Китая с древнейших времен до начала XXI века. Династия Цин (1644–1911 гг.).</w:t>
      </w:r>
      <w:r>
        <w:rPr>
          <w:rFonts w:cs="Garamond" w:ascii="Garamond" w:hAnsi="Garamond"/>
          <w:sz w:val="22"/>
          <w:szCs w:val="22"/>
        </w:rPr>
        <w:t xml:space="preserve"> Т.</w:t>
      </w:r>
      <w:r>
        <w:rPr>
          <w:rFonts w:cs="Garamond" w:ascii="Garamond" w:hAnsi="Garamond"/>
          <w:sz w:val="22"/>
          <w:szCs w:val="22"/>
          <w:lang w:val="en-US"/>
        </w:rPr>
        <w:t> </w:t>
      </w:r>
      <w:r>
        <w:rPr>
          <w:rFonts w:cs="Garamond" w:ascii="Garamond" w:hAnsi="Garamond"/>
          <w:sz w:val="22"/>
          <w:szCs w:val="22"/>
        </w:rPr>
        <w:t>6. М</w:t>
      </w:r>
      <w:r>
        <w:rPr>
          <w:rFonts w:cs="Garamond" w:ascii="Garamond" w:hAnsi="Garamond"/>
          <w:sz w:val="22"/>
          <w:szCs w:val="22"/>
          <w:lang w:val="en-US"/>
        </w:rPr>
        <w:t>., 2014 [</w:t>
      </w:r>
      <w:r>
        <w:rPr>
          <w:rFonts w:cs="Garamond" w:ascii="Garamond" w:hAnsi="Garamond"/>
          <w:i/>
          <w:sz w:val="22"/>
          <w:szCs w:val="22"/>
          <w:lang w:val="en-US"/>
        </w:rPr>
        <w:t>The History of China from Ancient Times to the Beginning of the XXI Century. Qing Dynasty (1644–1911)</w:t>
      </w:r>
      <w:r>
        <w:rPr>
          <w:rFonts w:cs="Garamond" w:ascii="Garamond" w:hAnsi="Garamond"/>
          <w:sz w:val="22"/>
          <w:szCs w:val="22"/>
          <w:lang w:val="en-US"/>
        </w:rPr>
        <w:t>. T. 6. Moscow, 2014 (in Russian)].</w:t>
      </w:r>
    </w:p>
    <w:p>
      <w:pPr>
        <w:pStyle w:val="Normal"/>
        <w:ind w:start="720" w:end="-31" w:hanging="720"/>
        <w:jc w:val="both"/>
        <w:textAlignment w:val="top"/>
        <w:rPr/>
      </w:pPr>
      <w:r>
        <w:rPr>
          <w:rFonts w:cs="Garamond" w:ascii="Garamond" w:hAnsi="Garamond"/>
          <w:sz w:val="22"/>
          <w:szCs w:val="22"/>
        </w:rPr>
        <w:t xml:space="preserve">Дубровская Д. В. Китайский феномен. </w:t>
      </w:r>
      <w:r>
        <w:rPr>
          <w:rFonts w:cs="Garamond" w:ascii="Garamond" w:hAnsi="Garamond"/>
          <w:i/>
          <w:sz w:val="22"/>
          <w:szCs w:val="22"/>
          <w:lang w:val="en-US"/>
        </w:rPr>
        <w:t xml:space="preserve">National Geographic </w:t>
      </w:r>
      <w:r>
        <w:rPr>
          <w:rFonts w:cs="Garamond" w:ascii="Garamond" w:hAnsi="Garamond"/>
          <w:i/>
          <w:sz w:val="22"/>
          <w:szCs w:val="22"/>
        </w:rPr>
        <w:t>Россия</w:t>
      </w:r>
      <w:r>
        <w:rPr>
          <w:rFonts w:cs="Garamond" w:ascii="Garamond" w:hAnsi="Garamond"/>
          <w:i/>
          <w:sz w:val="22"/>
          <w:szCs w:val="22"/>
          <w:lang w:val="en-US"/>
        </w:rPr>
        <w:t>.</w:t>
      </w:r>
      <w:r>
        <w:rPr>
          <w:rFonts w:cs="Garamond" w:ascii="Garamond" w:hAnsi="Garamond"/>
          <w:sz w:val="22"/>
          <w:szCs w:val="22"/>
          <w:lang w:val="en-US"/>
        </w:rPr>
        <w:t xml:space="preserve"> 2008. № 5. </w:t>
      </w:r>
      <w:r>
        <w:rPr>
          <w:rFonts w:cs="Garamond" w:ascii="Garamond" w:hAnsi="Garamond"/>
          <w:sz w:val="22"/>
          <w:szCs w:val="22"/>
        </w:rPr>
        <w:t>С</w:t>
      </w:r>
      <w:r>
        <w:rPr>
          <w:rFonts w:cs="Garamond" w:ascii="Garamond" w:hAnsi="Garamond"/>
          <w:sz w:val="22"/>
          <w:szCs w:val="22"/>
          <w:lang w:val="en-US"/>
        </w:rPr>
        <w:t xml:space="preserve">. 52–58 [Dubrovskaya D. V. Chinese phenomenon. </w:t>
      </w:r>
      <w:r>
        <w:rPr>
          <w:rFonts w:cs="Garamond" w:ascii="Garamond" w:hAnsi="Garamond"/>
          <w:i/>
          <w:sz w:val="22"/>
          <w:szCs w:val="22"/>
          <w:lang w:val="en-US"/>
        </w:rPr>
        <w:t>National Geographic Russia</w:t>
      </w:r>
      <w:r>
        <w:rPr>
          <w:rFonts w:cs="Garamond" w:ascii="Garamond" w:hAnsi="Garamond"/>
          <w:sz w:val="22"/>
          <w:szCs w:val="22"/>
          <w:lang w:val="en-US"/>
        </w:rPr>
        <w:t>. 2008. 5. Pp. 52–58 (in Russian)]</w:t>
      </w:r>
      <w:r>
        <w:rPr>
          <w:rFonts w:cs="Garamond" w:ascii="Garamond" w:hAnsi="Garamond"/>
          <w:sz w:val="22"/>
          <w:szCs w:val="22"/>
        </w:rPr>
        <w:t>.</w:t>
      </w:r>
    </w:p>
    <w:p>
      <w:pPr>
        <w:pStyle w:val="Normal"/>
        <w:ind w:start="720" w:end="-31" w:hanging="720"/>
        <w:jc w:val="both"/>
        <w:textAlignment w:val="top"/>
        <w:rPr/>
      </w:pPr>
      <w:r>
        <w:rPr>
          <w:rFonts w:cs="Garamond" w:ascii="Garamond" w:hAnsi="Garamond"/>
          <w:i/>
          <w:iCs/>
          <w:sz w:val="22"/>
          <w:szCs w:val="22"/>
        </w:rPr>
        <w:t>Российское китаеведение</w:t>
      </w:r>
      <w:r>
        <w:rPr>
          <w:rFonts w:cs="Garamond" w:ascii="Garamond" w:hAnsi="Garamond"/>
          <w:i/>
          <w:iCs/>
          <w:sz w:val="22"/>
          <w:szCs w:val="22"/>
          <w:lang w:val="en-US"/>
        </w:rPr>
        <w:t xml:space="preserve"> </w:t>
      </w:r>
      <w:r>
        <w:rPr>
          <w:rFonts w:cs="Garamond" w:ascii="Garamond" w:hAnsi="Garamond"/>
          <w:i/>
          <w:iCs/>
          <w:sz w:val="22"/>
          <w:szCs w:val="22"/>
        </w:rPr>
        <w:t>— устная история. Сборник интервью с ведущими российскими китаеведами XX–XXI вв</w:t>
      </w:r>
      <w:r>
        <w:rPr>
          <w:rFonts w:cs="Garamond" w:ascii="Garamond" w:hAnsi="Garamond"/>
          <w:sz w:val="22"/>
          <w:szCs w:val="22"/>
        </w:rPr>
        <w:t xml:space="preserve">. </w:t>
      </w:r>
      <w:r>
        <w:rPr>
          <w:rFonts w:cs="Garamond" w:ascii="Garamond" w:hAnsi="Garamond"/>
          <w:bCs/>
          <w:sz w:val="22"/>
          <w:szCs w:val="22"/>
        </w:rPr>
        <w:t>Т</w:t>
      </w:r>
      <w:r>
        <w:rPr>
          <w:rFonts w:cs="Garamond" w:ascii="Garamond" w:hAnsi="Garamond"/>
          <w:bCs/>
          <w:sz w:val="22"/>
          <w:szCs w:val="22"/>
          <w:lang w:val="en-US"/>
        </w:rPr>
        <w:t xml:space="preserve">. 1. </w:t>
      </w:r>
      <w:r>
        <w:rPr>
          <w:rFonts w:cs="Garamond" w:ascii="Garamond" w:hAnsi="Garamond"/>
          <w:bCs/>
          <w:sz w:val="22"/>
          <w:szCs w:val="22"/>
        </w:rPr>
        <w:t>М</w:t>
      </w:r>
      <w:r>
        <w:rPr>
          <w:rFonts w:cs="Garamond" w:ascii="Garamond" w:hAnsi="Garamond"/>
          <w:bCs/>
          <w:sz w:val="22"/>
          <w:szCs w:val="22"/>
          <w:lang w:val="en-US"/>
        </w:rPr>
        <w:t>., 2018 [</w:t>
      </w:r>
      <w:r>
        <w:rPr>
          <w:rFonts w:cs="Garamond" w:ascii="Garamond" w:hAnsi="Garamond"/>
          <w:sz w:val="22"/>
          <w:szCs w:val="22"/>
          <w:lang w:val="en-US"/>
        </w:rPr>
        <w:t>Russian Sinology — Oral History. Collection of Interviews with Leading Russian Sinologists of the XX–XXI Centuries. T. 1. Moscow, 2018 (in Russian)].</w:t>
      </w:r>
    </w:p>
    <w:sectPr>
      <w:headerReference w:type="default" r:id="rId4"/>
      <w:footerReference w:type="default" r:id="rId5"/>
      <w:footnotePr>
        <w:numFmt w:val="decimal"/>
      </w:footnotePr>
      <w:type w:val="nextPage"/>
      <w:pgSz w:w="11055" w:h="14740"/>
      <w:pgMar w:left="1134" w:right="1134" w:header="709" w:top="1134" w:footer="70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cc" w:characterSet="windows-1251"/>
    <w:family w:val="roman"/>
    <w:pitch w:val="variable"/>
  </w:font>
  <w:font w:name="Times">
    <w:altName w:val="Times New Roman"/>
    <w:charset w:val="00" w:characterSet="windows-1252"/>
    <w:family w:val="roman"/>
    <w:pitch w:val="variable"/>
  </w:font>
  <w:font w:name="Garamond">
    <w:charset w:val="cc" w:characterSet="windows-1251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rPr>
        <w:rFonts w:ascii="Garamond" w:hAnsi="Garamond" w:cs="Garamond"/>
        <w:sz w:val="22"/>
        <w:szCs w:val="22"/>
      </w:rPr>
    </w:pPr>
    <w:r>
      <w:rPr>
        <w:rFonts w:cs="Garamond" w:ascii="Garamond" w:hAnsi="Garamond"/>
        <w:sz w:val="22"/>
        <w:szCs w:val="22"/>
      </w:rPr>
    </w:r>
    <w:r>
      <mc:AlternateContent>
        <mc:Choice Requires="wps">
          <w:drawing>
            <wp:anchor behindDoc="0" distT="0" distB="0" distL="0" distR="0" simplePos="0" locked="0" layoutInCell="0" allowOverlap="1" relativeHeight="4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67335" cy="162560"/>
              <wp:effectExtent l="0" t="0" r="0" b="0"/>
              <wp:wrapSquare wrapText="largest"/>
              <wp:docPr id="2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" cy="1625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9"/>
                            <w:rPr>
                              <w:rStyle w:val="Style17"/>
                              <w:rFonts w:ascii="Garamond" w:hAnsi="Garamond" w:cs="Garamond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Style17"/>
                              <w:rFonts w:cs="Garamond" w:ascii="Garamond" w:hAnsi="Garamond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instrText> PAGE </w:instrText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fldChar w:fldCharType="separate"/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t>353</w:t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21.05pt;height:12.8pt;mso-wrap-distance-left:0pt;mso-wrap-distance-right:0pt;mso-wrap-distance-top:0pt;mso-wrap-distance-bottom:0pt;margin-top:0.05pt;mso-position-vertical-relative:text;margin-left:209.1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Style29"/>
                      <w:rPr>
                        <w:rStyle w:val="Style17"/>
                        <w:rFonts w:ascii="Garamond" w:hAnsi="Garamond" w:cs="Garamond"/>
                        <w:sz w:val="22"/>
                        <w:szCs w:val="22"/>
                      </w:rPr>
                    </w:pPr>
                    <w:r>
                      <w:rPr>
                        <w:rStyle w:val="Style17"/>
                        <w:rFonts w:cs="Garamond" w:ascii="Garamond" w:hAnsi="Garamond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instrText> PAGE </w:instrText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fldChar w:fldCharType="separate"/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t>353</w:t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rPr>
        <w:rFonts w:ascii="Garamond" w:hAnsi="Garamond" w:cs="Garamond"/>
        <w:sz w:val="22"/>
        <w:szCs w:val="22"/>
      </w:rPr>
    </w:pPr>
    <w:r>
      <w:rPr>
        <w:rFonts w:cs="Garamond" w:ascii="Garamond" w:hAnsi="Garamond"/>
        <w:sz w:val="22"/>
        <w:szCs w:val="22"/>
      </w:rPr>
    </w:r>
    <w:r>
      <mc:AlternateContent>
        <mc:Choice Requires="wps">
          <w:drawing>
            <wp:anchor behindDoc="0" distT="0" distB="0" distL="0" distR="0" simplePos="0" locked="0" layoutInCell="0" allowOverlap="1" relativeHeight="9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67335" cy="162560"/>
              <wp:effectExtent l="0" t="0" r="0" b="0"/>
              <wp:wrapSquare wrapText="largest"/>
              <wp:docPr id="3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" cy="1625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9"/>
                            <w:rPr/>
                          </w:pPr>
                          <w:r>
                            <w:rPr>
                              <w:rStyle w:val="Style17"/>
                              <w:rFonts w:cs="Garamond" w:ascii="Garamond" w:hAnsi="Garamond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instrText> PAGE </w:instrText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fldChar w:fldCharType="separate"/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t>358</w:t>
                          </w:r>
                          <w:r>
                            <w:rPr>
                              <w:rStyle w:val="Style17"/>
                              <w:sz w:val="22"/>
                              <w:szCs w:val="22"/>
                              <w:rFonts w:cs="Garamond"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21.05pt;height:12.8pt;mso-wrap-distance-left:0pt;mso-wrap-distance-right:0pt;mso-wrap-distance-top:0pt;mso-wrap-distance-bottom:0pt;margin-top:0.05pt;mso-position-vertical-relative:text;margin-left:209.1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Style29"/>
                      <w:rPr/>
                    </w:pPr>
                    <w:r>
                      <w:rPr>
                        <w:rStyle w:val="Style17"/>
                        <w:rFonts w:cs="Garamond" w:ascii="Garamond" w:hAnsi="Garamond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instrText> PAGE </w:instrText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fldChar w:fldCharType="separate"/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t>358</w:t>
                    </w:r>
                    <w:r>
                      <w:rPr>
                        <w:rStyle w:val="Style17"/>
                        <w:sz w:val="22"/>
                        <w:szCs w:val="22"/>
                        <w:rFonts w:cs="Garamond" w:ascii="Garamond" w:hAnsi="Garamond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Style30"/>
        <w:ind w:end="-31" w:hanging="0"/>
        <w:jc w:val="both"/>
        <w:rPr/>
      </w:pPr>
      <w:r>
        <w:rPr>
          <w:rStyle w:val="Style14"/>
        </w:rPr>
        <w:footnoteRef/>
      </w:r>
      <w:r>
        <w:rPr>
          <w:rFonts w:cs="Garamond" w:ascii="Garamond" w:hAnsi="Garamond"/>
          <w:sz w:val="20"/>
          <w:szCs w:val="20"/>
        </w:rPr>
        <w:t xml:space="preserve"> </w:t>
      </w:r>
      <w:r>
        <w:rPr>
          <w:rFonts w:cs="Garamond" w:ascii="Garamond" w:hAnsi="Garamond"/>
          <w:sz w:val="20"/>
          <w:szCs w:val="20"/>
        </w:rPr>
        <w:t>Впоследствии известный как Центральный детский театр.</w:t>
      </w:r>
    </w:p>
  </w:footnote>
  <w:footnote w:id="3">
    <w:p>
      <w:pPr>
        <w:pStyle w:val="Style30"/>
        <w:ind w:end="-31" w:hanging="0"/>
        <w:jc w:val="both"/>
        <w:rPr/>
      </w:pPr>
      <w:r>
        <w:rPr>
          <w:rStyle w:val="Style14"/>
        </w:rPr>
        <w:footnoteRef/>
      </w:r>
      <w:r>
        <w:rPr>
          <w:rFonts w:cs="Garamond" w:ascii="Garamond" w:hAnsi="Garamond"/>
          <w:sz w:val="20"/>
          <w:szCs w:val="20"/>
        </w:rPr>
        <w:t xml:space="preserve"> </w:t>
      </w:r>
      <w:r>
        <w:rPr>
          <w:rFonts w:cs="Garamond" w:ascii="Garamond" w:hAnsi="Garamond"/>
          <w:sz w:val="20"/>
          <w:szCs w:val="20"/>
        </w:rPr>
        <w:t>10-томное издание «Истории Китая с древнейших времен до начала XXI вв.» под общей редакцией академика С. Л. Тихвинского.</w:t>
      </w:r>
    </w:p>
  </w:footnote>
  <w:footnote w:id="4">
    <w:p>
      <w:pPr>
        <w:pStyle w:val="Style30"/>
        <w:ind w:end="-31" w:hanging="0"/>
        <w:jc w:val="both"/>
        <w:rPr/>
      </w:pPr>
      <w:r>
        <w:rPr>
          <w:rStyle w:val="Style14"/>
        </w:rPr>
        <w:footnoteRef/>
      </w:r>
      <w:r>
        <w:rPr>
          <w:rFonts w:cs="Garamond" w:ascii="Garamond" w:hAnsi="Garamond"/>
          <w:sz w:val="20"/>
          <w:szCs w:val="20"/>
        </w:rPr>
        <w:t xml:space="preserve"> </w:t>
      </w:r>
      <w:r>
        <w:rPr>
          <w:rFonts w:cs="Garamond" w:ascii="Garamond" w:hAnsi="Garamond"/>
          <w:sz w:val="20"/>
          <w:szCs w:val="20"/>
        </w:rPr>
        <w:t>История Китая с древнейших времен до начала XXI века. Династия Цин (1644–1911 гг.). Олег</w:t>
      </w:r>
      <w:r>
        <w:rPr>
          <w:rFonts w:cs="Garamond" w:ascii="Garamond" w:hAnsi="Garamond"/>
          <w:sz w:val="20"/>
          <w:szCs w:val="20"/>
          <w:lang w:val="en-US"/>
        </w:rPr>
        <w:t> </w:t>
      </w:r>
      <w:r>
        <w:rPr>
          <w:rFonts w:cs="Garamond" w:ascii="Garamond" w:hAnsi="Garamond"/>
          <w:sz w:val="20"/>
          <w:szCs w:val="20"/>
        </w:rPr>
        <w:t>Ефимович написал: в Ч.</w:t>
      </w:r>
      <w:r>
        <w:rPr>
          <w:rFonts w:cs="Garamond" w:ascii="Garamond" w:hAnsi="Garamond"/>
          <w:sz w:val="20"/>
          <w:szCs w:val="20"/>
          <w:lang w:val="en-US"/>
        </w:rPr>
        <w:t> </w:t>
      </w:r>
      <w:r>
        <w:rPr>
          <w:rFonts w:cs="Garamond" w:ascii="Garamond" w:hAnsi="Garamond"/>
          <w:sz w:val="20"/>
          <w:szCs w:val="20"/>
        </w:rPr>
        <w:t>1, главы 2–3, 5–7, 9, 11–13, 17; в Ч.</w:t>
      </w:r>
      <w:r>
        <w:rPr>
          <w:rFonts w:cs="Garamond" w:ascii="Garamond" w:hAnsi="Garamond"/>
          <w:sz w:val="20"/>
          <w:szCs w:val="20"/>
          <w:lang w:val="en-US"/>
        </w:rPr>
        <w:t> </w:t>
      </w:r>
      <w:r>
        <w:rPr>
          <w:rFonts w:cs="Garamond" w:ascii="Garamond" w:hAnsi="Garamond"/>
          <w:sz w:val="20"/>
          <w:szCs w:val="20"/>
        </w:rPr>
        <w:t>2 — главу 3.</w:t>
      </w:r>
    </w:p>
  </w:footnote>
  <w:footnote w:id="5">
    <w:p>
      <w:pPr>
        <w:pStyle w:val="Normal"/>
        <w:ind w:end="-31" w:hanging="0"/>
        <w:jc w:val="both"/>
        <w:rPr/>
      </w:pPr>
      <w:r>
        <w:rPr>
          <w:rStyle w:val="Style14"/>
        </w:rPr>
        <w:footnoteRef/>
      </w:r>
      <w:r>
        <w:rPr>
          <w:rFonts w:cs="Garamond" w:ascii="Garamond" w:hAnsi="Garamond"/>
        </w:rPr>
        <w:t xml:space="preserve"> </w:t>
      </w:r>
      <w:r>
        <w:rPr>
          <w:rFonts w:cs="Garamond" w:ascii="Garamond" w:hAnsi="Garamond"/>
        </w:rPr>
        <w:t>По материалам статьи: [Горбунова, Ланда, Чарыева, 2018, с. 187].</w:t>
      </w:r>
    </w:p>
  </w:footnote>
  <w:footnote w:id="6">
    <w:p>
      <w:pPr>
        <w:pStyle w:val="Style30"/>
        <w:ind w:end="-31" w:hanging="0"/>
        <w:jc w:val="both"/>
        <w:rPr>
          <w:rFonts w:ascii="Garamond" w:hAnsi="Garamond" w:cs="Garamond"/>
          <w:sz w:val="20"/>
          <w:szCs w:val="20"/>
        </w:rPr>
      </w:pPr>
      <w:r>
        <w:rPr>
          <w:rStyle w:val="Style14"/>
        </w:rPr>
        <w:footnoteRef/>
      </w:r>
      <w:r>
        <w:rPr>
          <w:rFonts w:cs="Garamond" w:ascii="Garamond" w:hAnsi="Garamond"/>
          <w:sz w:val="20"/>
          <w:szCs w:val="20"/>
        </w:rPr>
        <w:t xml:space="preserve"> </w:t>
      </w:r>
      <w:r>
        <w:rPr>
          <w:rFonts w:cs="Garamond" w:ascii="Garamond" w:hAnsi="Garamond"/>
          <w:sz w:val="20"/>
          <w:szCs w:val="20"/>
        </w:rPr>
        <w:t>По материалам интервью Д. В. Дубровской с О. Е. Непомниным: [Дубровская, 2008, с. 52–58].</w:t>
      </w:r>
    </w:p>
  </w:footnote>
  <w:footnote w:id="7">
    <w:p>
      <w:pPr>
        <w:pStyle w:val="Style30"/>
        <w:ind w:end="-31" w:hanging="0"/>
        <w:jc w:val="both"/>
        <w:rPr/>
      </w:pPr>
      <w:r>
        <w:rPr>
          <w:rStyle w:val="Style14"/>
        </w:rPr>
        <w:footnoteRef/>
      </w:r>
      <w:r>
        <w:rPr>
          <w:rFonts w:cs="Garamond" w:ascii="Garamond" w:hAnsi="Garamond"/>
          <w:sz w:val="20"/>
          <w:szCs w:val="20"/>
        </w:rPr>
        <w:t xml:space="preserve"> </w:t>
      </w:r>
      <w:r>
        <w:rPr>
          <w:rFonts w:cs="Garamond" w:ascii="Garamond" w:hAnsi="Garamond"/>
          <w:sz w:val="20"/>
          <w:szCs w:val="20"/>
        </w:rPr>
        <w:t xml:space="preserve">По материалам страницы Д. Д. Беляева в «Живом журнале». </w:t>
      </w:r>
      <w:r>
        <w:rPr>
          <w:rFonts w:cs="Garamond" w:ascii="Garamond" w:hAnsi="Garamond"/>
          <w:sz w:val="20"/>
          <w:szCs w:val="20"/>
          <w:lang w:val="en-US"/>
        </w:rPr>
        <w:t>URL</w:t>
      </w:r>
      <w:r>
        <w:rPr>
          <w:rFonts w:cs="Garamond" w:ascii="Garamond" w:hAnsi="Garamond"/>
          <w:sz w:val="20"/>
          <w:szCs w:val="20"/>
        </w:rPr>
        <w:t xml:space="preserve">: </w:t>
      </w:r>
      <w:r>
        <w:rPr>
          <w:rFonts w:cs="Garamond" w:ascii="Garamond" w:hAnsi="Garamond"/>
          <w:sz w:val="20"/>
          <w:szCs w:val="20"/>
          <w:lang w:val="en-US"/>
        </w:rPr>
        <w:t>https</w:t>
      </w:r>
      <w:r>
        <w:rPr>
          <w:rFonts w:cs="Garamond" w:ascii="Garamond" w:hAnsi="Garamond"/>
          <w:sz w:val="20"/>
          <w:szCs w:val="20"/>
        </w:rPr>
        <w:t>://</w:t>
      </w:r>
      <w:r>
        <w:rPr>
          <w:rFonts w:cs="Garamond" w:ascii="Garamond" w:hAnsi="Garamond"/>
          <w:sz w:val="20"/>
          <w:szCs w:val="20"/>
          <w:lang w:val="en-US"/>
        </w:rPr>
        <w:t>maoist</w:t>
      </w:r>
      <w:r>
        <w:rPr>
          <w:rFonts w:cs="Garamond" w:ascii="Garamond" w:hAnsi="Garamond"/>
          <w:sz w:val="20"/>
          <w:szCs w:val="20"/>
        </w:rPr>
        <w:t>.</w:t>
      </w:r>
      <w:r>
        <w:rPr>
          <w:rFonts w:cs="Garamond" w:ascii="Garamond" w:hAnsi="Garamond"/>
          <w:sz w:val="20"/>
          <w:szCs w:val="20"/>
          <w:lang w:val="en-US"/>
        </w:rPr>
        <w:t>livejournal</w:t>
      </w:r>
      <w:r>
        <w:rPr>
          <w:rFonts w:cs="Garamond" w:ascii="Garamond" w:hAnsi="Garamond"/>
          <w:sz w:val="20"/>
          <w:szCs w:val="20"/>
        </w:rPr>
        <w:t>.</w:t>
      </w:r>
      <w:r>
        <w:rPr>
          <w:rFonts w:cs="Garamond" w:ascii="Garamond" w:hAnsi="Garamond"/>
          <w:sz w:val="20"/>
          <w:szCs w:val="20"/>
          <w:lang w:val="en-US"/>
        </w:rPr>
        <w:t>com</w:t>
      </w:r>
      <w:r>
        <w:rPr>
          <w:rFonts w:cs="Garamond" w:ascii="Garamond" w:hAnsi="Garamond"/>
          <w:sz w:val="20"/>
          <w:szCs w:val="20"/>
        </w:rPr>
        <w:t>/416079.</w:t>
      </w:r>
      <w:r>
        <w:rPr>
          <w:rFonts w:cs="Garamond" w:ascii="Garamond" w:hAnsi="Garamond"/>
          <w:sz w:val="20"/>
          <w:szCs w:val="20"/>
          <w:lang w:val="en-US"/>
        </w:rPr>
        <w:t>html</w:t>
      </w:r>
      <w:r>
        <w:rPr>
          <w:rFonts w:cs="Garamond" w:ascii="Garamond" w:hAnsi="Garamond"/>
          <w:sz w:val="20"/>
          <w:szCs w:val="20"/>
        </w:rPr>
        <w:t xml:space="preserve"> (дата обращения 23.11.2020).</w:t>
      </w:r>
    </w:p>
  </w:footnote>
  <w:footnote w:id="8">
    <w:p>
      <w:pPr>
        <w:pStyle w:val="Style30"/>
        <w:ind w:end="-31" w:hanging="0"/>
        <w:jc w:val="both"/>
        <w:rPr/>
      </w:pPr>
      <w:r>
        <w:rPr>
          <w:rStyle w:val="Style14"/>
        </w:rPr>
        <w:footnoteRef/>
      </w:r>
      <w:r>
        <w:rPr>
          <w:rFonts w:cs="Garamond" w:ascii="Garamond" w:hAnsi="Garamond"/>
          <w:sz w:val="20"/>
          <w:szCs w:val="20"/>
        </w:rPr>
        <w:t xml:space="preserve"> </w:t>
      </w:r>
      <w:r>
        <w:rPr>
          <w:rFonts w:cs="Garamond" w:ascii="Garamond" w:hAnsi="Garamond"/>
          <w:sz w:val="20"/>
          <w:szCs w:val="20"/>
        </w:rPr>
        <w:t>Стихотворение «Друзья» (1984 г.) было любезно предоставлено для публикации дочерью Н. И. Фоминой из личного архива.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8820" w:type="dxa"/>
      <w:jc w:val="start"/>
      <w:tblInd w:w="0" w:type="dxa"/>
      <w:tblLayout w:type="fixed"/>
      <w:tblCellMar>
        <w:top w:w="0" w:type="dxa"/>
        <w:start w:w="108" w:type="dxa"/>
        <w:bottom w:w="0" w:type="dxa"/>
        <w:end w:w="108" w:type="dxa"/>
      </w:tblCellMar>
    </w:tblPr>
    <w:tblGrid>
      <w:gridCol w:w="8820"/>
    </w:tblGrid>
    <w:tr>
      <w:trPr/>
      <w:tc>
        <w:tcPr>
          <w:tcW w:w="8820" w:type="dxa"/>
          <w:tcBorders>
            <w:bottom w:val="single" w:sz="12" w:space="0" w:color="000000"/>
          </w:tcBorders>
        </w:tcPr>
        <w:p>
          <w:pPr>
            <w:pStyle w:val="Style31"/>
            <w:jc w:val="center"/>
            <w:rPr>
              <w:rFonts w:ascii="Garamond" w:hAnsi="Garamond" w:cs="Garamond"/>
              <w:color w:val="000000"/>
            </w:rPr>
          </w:pPr>
          <w:r>
            <w:rPr>
              <w:rFonts w:cs="Garamond" w:ascii="Garamond" w:hAnsi="Garamond"/>
            </w:rPr>
            <w:t>Вспоминая О. Е. Непомнина (1935–2020)</w:t>
          </w:r>
        </w:p>
        <w:p>
          <w:pPr>
            <w:pStyle w:val="Style31"/>
            <w:jc w:val="center"/>
            <w:rPr>
              <w:rFonts w:ascii="Garamond" w:hAnsi="Garamond" w:cs="Garamond"/>
              <w:color w:val="000000"/>
              <w:sz w:val="8"/>
              <w:szCs w:val="8"/>
            </w:rPr>
          </w:pPr>
          <w:r>
            <w:rPr>
              <w:rFonts w:cs="Garamond" w:ascii="Garamond" w:hAnsi="Garamond"/>
              <w:color w:val="000000"/>
              <w:sz w:val="8"/>
              <w:szCs w:val="8"/>
            </w:rPr>
          </w:r>
        </w:p>
      </w:tc>
    </w:tr>
  </w:tbl>
  <w:p>
    <w:pPr>
      <w:pStyle w:val="Style31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pStyle w:val="5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50"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paragraph" w:styleId="5">
    <w:name w:val="Heading 5"/>
    <w:basedOn w:val="Normal"/>
    <w:next w:val="Style24"/>
    <w:qFormat/>
    <w:pPr>
      <w:numPr>
        <w:ilvl w:val="4"/>
        <w:numId w:val="1"/>
      </w:numPr>
      <w:spacing w:before="280" w:after="280"/>
      <w:outlineLvl w:val="4"/>
    </w:pPr>
    <w:rPr>
      <w:rFonts w:ascii="Times" w:hAnsi="Times" w:eastAsia="MS Mincho;MS Gothic" w:cs="Times New Roman"/>
      <w:b/>
      <w:bCs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Style13">
    <w:name w:val="Основной шрифт абзаца"/>
    <w:qFormat/>
    <w:rPr/>
  </w:style>
  <w:style w:type="character" w:styleId="FooterChar">
    <w:name w:val="Footer Char"/>
    <w:qFormat/>
    <w:rPr>
      <w:rFonts w:ascii="Times New Roman" w:hAnsi="Times New Roman" w:eastAsia="Times New Roman" w:cs="Times New Roman"/>
      <w:sz w:val="20"/>
      <w:szCs w:val="20"/>
    </w:rPr>
  </w:style>
  <w:style w:type="character" w:styleId="FootnoteTextChar">
    <w:name w:val="Footnote Text Char"/>
    <w:qFormat/>
    <w:rPr>
      <w:rFonts w:ascii="Times New Roman" w:hAnsi="Times New Roman" w:eastAsia="Times New Roman" w:cs="Times New Roman"/>
    </w:rPr>
  </w:style>
  <w:style w:type="character" w:styleId="Style14">
    <w:name w:val="Символ сноски"/>
    <w:qFormat/>
    <w:rPr>
      <w:vertAlign w:val="superscript"/>
    </w:rPr>
  </w:style>
  <w:style w:type="character" w:styleId="BodyTextChar">
    <w:name w:val="Body Text Char"/>
    <w:qFormat/>
    <w:rPr>
      <w:rFonts w:ascii="Times New Roman" w:hAnsi="Times New Roman" w:cs="Times New Roman"/>
      <w:b/>
      <w:bCs/>
      <w:sz w:val="18"/>
      <w:szCs w:val="18"/>
      <w:lang w:val="en-US"/>
    </w:rPr>
  </w:style>
  <w:style w:type="character" w:styleId="Appleconvertedspace">
    <w:name w:val="apple-converted-space"/>
    <w:basedOn w:val="Style13"/>
    <w:qFormat/>
    <w:rPr/>
  </w:style>
  <w:style w:type="character" w:styleId="Heading5Char">
    <w:name w:val="Heading 5 Char"/>
    <w:qFormat/>
    <w:rPr>
      <w:rFonts w:ascii="Times" w:hAnsi="Times" w:cs="Times"/>
      <w:b/>
      <w:bCs/>
      <w:sz w:val="20"/>
      <w:szCs w:val="20"/>
    </w:rPr>
  </w:style>
  <w:style w:type="character" w:styleId="Style15">
    <w:name w:val="Интернет-ссылка"/>
    <w:rPr>
      <w:color w:val="0000FF"/>
      <w:u w:val="single"/>
    </w:rPr>
  </w:style>
  <w:style w:type="character" w:styleId="Style16">
    <w:name w:val="Посещённая гиперссылка"/>
    <w:rPr>
      <w:color w:val="800080"/>
      <w:u w:val="single"/>
    </w:rPr>
  </w:style>
  <w:style w:type="character" w:styleId="Style17">
    <w:name w:val="Номер страницы"/>
    <w:basedOn w:val="Style13"/>
    <w:rPr/>
  </w:style>
  <w:style w:type="character" w:styleId="Style18">
    <w:name w:val="Выделение"/>
    <w:basedOn w:val="Style13"/>
    <w:qFormat/>
    <w:rPr>
      <w:i/>
      <w:iCs/>
    </w:rPr>
  </w:style>
  <w:style w:type="character" w:styleId="Extendedtextshort">
    <w:name w:val="extended-text__short"/>
    <w:basedOn w:val="Style13"/>
    <w:qFormat/>
    <w:rPr>
      <w:rFonts w:cs="Times New Roman"/>
    </w:rPr>
  </w:style>
  <w:style w:type="character" w:styleId="Citation">
    <w:name w:val="citation"/>
    <w:basedOn w:val="Style13"/>
    <w:qFormat/>
    <w:rPr>
      <w:rFonts w:cs="Times New Roman"/>
    </w:rPr>
  </w:style>
  <w:style w:type="character" w:styleId="Style19">
    <w:name w:val=" Знак Знак"/>
    <w:qFormat/>
    <w:rPr>
      <w:lang w:val="ru-RU" w:bidi="ar-SA"/>
    </w:rPr>
  </w:style>
  <w:style w:type="character" w:styleId="WW8Dropcap0">
    <w:name w:val="WW8Dropcap0"/>
    <w:qFormat/>
    <w:rPr>
      <w:rFonts w:ascii="Garamond" w:hAnsi="Garamond" w:cs="Garamond"/>
      <w:sz w:val="112"/>
      <w:szCs w:val="112"/>
    </w:rPr>
  </w:style>
  <w:style w:type="character" w:styleId="Style20">
    <w:name w:val="Привязка сноски"/>
    <w:rPr>
      <w:vertAlign w:val="superscript"/>
    </w:rPr>
  </w:style>
  <w:style w:type="character" w:styleId="Style21">
    <w:name w:val="Привязка концевой сноски"/>
    <w:rPr>
      <w:vertAlign w:val="superscript"/>
    </w:rPr>
  </w:style>
  <w:style w:type="character" w:styleId="Style22">
    <w:name w:val="Символ концевой сноски"/>
    <w:qFormat/>
    <w:rPr/>
  </w:style>
  <w:style w:type="paragraph" w:styleId="Style23">
    <w:name w:val="Заголовок"/>
    <w:basedOn w:val="Normal"/>
    <w:next w:val="Style24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4">
    <w:name w:val="Body Text"/>
    <w:basedOn w:val="Normal"/>
    <w:pPr>
      <w:widowControl w:val="false"/>
      <w:autoSpaceDE w:val="false"/>
      <w:ind w:start="40" w:hanging="0"/>
    </w:pPr>
    <w:rPr>
      <w:rFonts w:eastAsia="MS Mincho;MS Gothic"/>
      <w:b/>
      <w:bCs/>
      <w:sz w:val="18"/>
      <w:szCs w:val="18"/>
      <w:lang w:val="en-US"/>
    </w:rPr>
  </w:style>
  <w:style w:type="paragraph" w:styleId="Style25">
    <w:name w:val="List"/>
    <w:basedOn w:val="Style24"/>
    <w:pPr/>
    <w:rPr>
      <w:rFonts w:cs="Lohit Devanagari"/>
    </w:rPr>
  </w:style>
  <w:style w:type="paragraph" w:styleId="Style26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7">
    <w:name w:val="Указатель"/>
    <w:basedOn w:val="Normal"/>
    <w:qFormat/>
    <w:pPr>
      <w:suppressLineNumbers/>
    </w:pPr>
    <w:rPr>
      <w:rFonts w:cs="Lohit Devanagari"/>
    </w:rPr>
  </w:style>
  <w:style w:type="paragraph" w:styleId="Style28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29">
    <w:name w:val="Footer"/>
    <w:basedOn w:val="Normal"/>
    <w:pPr/>
    <w:rPr/>
  </w:style>
  <w:style w:type="paragraph" w:styleId="Style30">
    <w:name w:val="Footnote Text"/>
    <w:basedOn w:val="Normal"/>
    <w:pPr/>
    <w:rPr>
      <w:sz w:val="24"/>
      <w:szCs w:val="24"/>
    </w:rPr>
  </w:style>
  <w:style w:type="paragraph" w:styleId="ListParagraph">
    <w:name w:val="List Paragraph"/>
    <w:basedOn w:val="Normal"/>
    <w:qFormat/>
    <w:pPr>
      <w:spacing w:before="0" w:after="0"/>
      <w:ind w:start="720" w:hanging="0"/>
      <w:contextualSpacing/>
    </w:pPr>
    <w:rPr/>
  </w:style>
  <w:style w:type="paragraph" w:styleId="Style31">
    <w:name w:val="Header"/>
    <w:basedOn w:val="Normal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Style32">
    <w:name w:val="Обычный (веб)"/>
    <w:basedOn w:val="Normal"/>
    <w:qFormat/>
    <w:pPr>
      <w:spacing w:before="280" w:after="280"/>
    </w:pPr>
    <w:rPr>
      <w:sz w:val="24"/>
      <w:szCs w:val="24"/>
    </w:rPr>
  </w:style>
  <w:style w:type="paragraph" w:styleId="Msonormalmailrucssattributepostfix">
    <w:name w:val="msonormal_mailru_css_attribute_postfix"/>
    <w:basedOn w:val="Normal"/>
    <w:qFormat/>
    <w:pPr>
      <w:spacing w:before="280" w:after="280"/>
    </w:pPr>
    <w:rPr>
      <w:sz w:val="24"/>
      <w:szCs w:val="24"/>
    </w:rPr>
  </w:style>
  <w:style w:type="paragraph" w:styleId="Style33">
    <w:name w:val="Содержимое таблицы"/>
    <w:basedOn w:val="Normal"/>
    <w:qFormat/>
    <w:pPr>
      <w:widowControl w:val="false"/>
      <w:suppressLineNumbers/>
    </w:pPr>
    <w:rPr/>
  </w:style>
  <w:style w:type="paragraph" w:styleId="Style34">
    <w:name w:val="Заголовок таблицы"/>
    <w:basedOn w:val="Style33"/>
    <w:qFormat/>
    <w:pPr>
      <w:suppressLineNumbers/>
      <w:jc w:val="center"/>
    </w:pPr>
    <w:rPr>
      <w:b/>
      <w:bCs/>
    </w:rPr>
  </w:style>
  <w:style w:type="paragraph" w:styleId="Style35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header" Target="header1.xml"/><Relationship Id="rId5" Type="http://schemas.openxmlformats.org/officeDocument/2006/relationships/footer" Target="footer2.xm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Application>LibreOffice/7.0.3.1$Linux_X86_64 LibreOffice_project/00$Build-1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2018-03-18T22:15:00Z</dcterms:created>
  <dc:creator>Vestnik IOS RAS</dc:creator>
  <dc:description/>
  <cp:keywords> </cp:keywords>
  <dc:language>ru-RU</dc:language>
  <cp:lastModifiedBy>Malykh</cp:lastModifiedBy>
  <dcterms:modified xsi:type="dcterms:W3CDTF">2020-12-15T19:33:00Z</dcterms:modified>
  <cp:revision>180</cp:revision>
  <dc:subject/>
  <dc:title>РУБРИКА: РЕЦЕНЗИИ; к юбилею ИВ РАН (</dc:title>
</cp:coreProperties>
</file>